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宋体" w:hAnsi="宋体" w:eastAsia="方正仿宋_GBK" w:cs="方正仿宋_GBK"/>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宋体" w:hAnsi="宋体" w:eastAsia="方正小标宋_GBK" w:cs="方正小标宋_GBK"/>
          <w:spacing w:val="0"/>
          <w:sz w:val="72"/>
          <w:szCs w:val="72"/>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sz w:val="72"/>
          <w:szCs w:val="72"/>
        </w:rPr>
      </w:pPr>
      <w:r>
        <w:rPr>
          <w:rFonts w:hint="eastAsia" w:ascii="宋体" w:hAnsi="宋体" w:eastAsia="宋体" w:cs="宋体"/>
          <w:spacing w:val="0"/>
          <w:sz w:val="72"/>
          <w:szCs w:val="72"/>
        </w:rPr>
        <w:t>麻栗坡县“十四五”</w:t>
      </w:r>
      <w:r>
        <w:rPr>
          <w:rFonts w:hint="eastAsia" w:ascii="宋体" w:hAnsi="宋体" w:eastAsia="宋体" w:cs="宋体"/>
          <w:spacing w:val="0"/>
          <w:sz w:val="72"/>
          <w:szCs w:val="72"/>
          <w:lang w:val="en-US" w:eastAsia="zh-CN"/>
        </w:rPr>
        <w:t>农村供水</w:t>
      </w:r>
      <w:r>
        <w:rPr>
          <w:rFonts w:hint="eastAsia" w:ascii="宋体" w:hAnsi="宋体" w:eastAsia="宋体" w:cs="宋体"/>
          <w:spacing w:val="0"/>
          <w:sz w:val="72"/>
          <w:szCs w:val="72"/>
        </w:rPr>
        <w:t>保障规划</w:t>
      </w: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宋体" w:hAnsi="宋体" w:eastAsia="宋体" w:cs="宋体"/>
          <w:spacing w:val="0"/>
          <w:sz w:val="32"/>
          <w:szCs w:val="32"/>
          <w:lang w:eastAsia="zh-CN"/>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sz w:val="52"/>
          <w:szCs w:val="52"/>
          <w:lang w:eastAsia="zh-CN"/>
        </w:rPr>
      </w:pPr>
      <w:r>
        <w:rPr>
          <w:rFonts w:hint="eastAsia" w:ascii="宋体" w:hAnsi="宋体" w:eastAsia="宋体" w:cs="宋体"/>
          <w:spacing w:val="0"/>
          <w:sz w:val="52"/>
          <w:szCs w:val="52"/>
          <w:lang w:eastAsia="zh-CN"/>
        </w:rPr>
        <w:t>（</w:t>
      </w:r>
      <w:r>
        <w:rPr>
          <w:rFonts w:hint="eastAsia" w:ascii="宋体" w:hAnsi="宋体" w:eastAsia="宋体" w:cs="宋体"/>
          <w:spacing w:val="0"/>
          <w:sz w:val="52"/>
          <w:szCs w:val="52"/>
          <w:lang w:val="en-US" w:eastAsia="zh-CN"/>
        </w:rPr>
        <w:t>征求意见稿</w:t>
      </w:r>
      <w:r>
        <w:rPr>
          <w:rFonts w:hint="eastAsia" w:ascii="宋体" w:hAnsi="宋体" w:eastAsia="宋体" w:cs="宋体"/>
          <w:spacing w:val="0"/>
          <w:sz w:val="52"/>
          <w:szCs w:val="52"/>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both"/>
        <w:textAlignment w:val="baseline"/>
        <w:rPr>
          <w:rFonts w:hint="eastAsia" w:ascii="宋体" w:hAnsi="宋体" w:eastAsia="宋体" w:cs="宋体"/>
          <w:spacing w:val="0"/>
          <w:sz w:val="32"/>
          <w:szCs w:val="32"/>
          <w:lang w:eastAsia="zh-CN"/>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both"/>
        <w:textAlignment w:val="baseline"/>
        <w:rPr>
          <w:rFonts w:hint="eastAsia" w:ascii="宋体" w:hAnsi="宋体" w:eastAsia="宋体" w:cs="宋体"/>
          <w:spacing w:val="0"/>
          <w:sz w:val="32"/>
          <w:szCs w:val="32"/>
          <w:lang w:eastAsia="zh-CN"/>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48"/>
          <w:szCs w:val="48"/>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48"/>
          <w:szCs w:val="48"/>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48"/>
          <w:szCs w:val="48"/>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48"/>
          <w:szCs w:val="48"/>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48"/>
          <w:szCs w:val="48"/>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48"/>
          <w:szCs w:val="48"/>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48"/>
          <w:szCs w:val="48"/>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48"/>
          <w:szCs w:val="48"/>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48"/>
          <w:szCs w:val="48"/>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48"/>
          <w:szCs w:val="48"/>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48"/>
          <w:szCs w:val="48"/>
        </w:rPr>
      </w:pPr>
      <w:r>
        <w:rPr>
          <w:rFonts w:hint="eastAsia" w:ascii="宋体" w:hAnsi="宋体" w:eastAsia="宋体" w:cs="宋体"/>
          <w:bCs/>
          <w:spacing w:val="0"/>
          <w:sz w:val="48"/>
          <w:szCs w:val="48"/>
        </w:rPr>
        <w:t>麻栗坡县水务局</w:t>
      </w: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48"/>
          <w:szCs w:val="48"/>
        </w:rPr>
      </w:pPr>
    </w:p>
    <w:p>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宋体" w:hAnsi="宋体" w:eastAsia="宋体" w:cs="宋体"/>
          <w:bCs/>
          <w:spacing w:val="0"/>
          <w:sz w:val="48"/>
          <w:szCs w:val="48"/>
        </w:rPr>
      </w:pPr>
      <w:r>
        <w:rPr>
          <w:rFonts w:hint="eastAsia" w:ascii="宋体" w:hAnsi="宋体" w:eastAsia="宋体" w:cs="宋体"/>
          <w:bCs/>
          <w:spacing w:val="0"/>
          <w:sz w:val="48"/>
          <w:szCs w:val="48"/>
        </w:rPr>
        <w:t>二〇二〇年</w:t>
      </w:r>
      <w:r>
        <w:rPr>
          <w:rFonts w:hint="eastAsia" w:ascii="宋体" w:hAnsi="宋体" w:eastAsia="宋体" w:cs="宋体"/>
          <w:bCs/>
          <w:spacing w:val="0"/>
          <w:sz w:val="48"/>
          <w:szCs w:val="48"/>
          <w:lang w:val="en-US" w:eastAsia="zh-CN"/>
        </w:rPr>
        <w:t>十一</w:t>
      </w:r>
      <w:r>
        <w:rPr>
          <w:rFonts w:hint="eastAsia" w:ascii="宋体" w:hAnsi="宋体" w:eastAsia="宋体" w:cs="宋体"/>
          <w:bCs/>
          <w:spacing w:val="0"/>
          <w:sz w:val="48"/>
          <w:szCs w:val="48"/>
        </w:rPr>
        <w:t>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宋体" w:hAnsi="宋体" w:eastAsia="宋体" w:cs="宋体"/>
          <w:spacing w:val="0"/>
          <w:sz w:val="48"/>
          <w:szCs w:val="4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both"/>
        <w:textAlignment w:val="baseline"/>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eastAsia" w:ascii="宋体" w:hAnsi="宋体" w:eastAsia="宋体" w:cs="宋体"/>
          <w:b/>
          <w:bCs/>
          <w:spacing w:val="0"/>
          <w:sz w:val="52"/>
          <w:szCs w:val="52"/>
        </w:rPr>
      </w:pPr>
      <w:r>
        <w:rPr>
          <w:rFonts w:hint="eastAsia" w:ascii="宋体" w:hAnsi="宋体" w:eastAsia="宋体" w:cs="宋体"/>
          <w:b/>
          <w:bCs/>
          <w:spacing w:val="0"/>
          <w:sz w:val="52"/>
          <w:szCs w:val="52"/>
        </w:rPr>
        <w:t>麻栗坡县“十四五”</w:t>
      </w:r>
      <w:r>
        <w:rPr>
          <w:rFonts w:hint="eastAsia" w:ascii="宋体" w:hAnsi="宋体" w:eastAsia="宋体" w:cs="宋体"/>
          <w:b/>
          <w:bCs/>
          <w:spacing w:val="0"/>
          <w:sz w:val="52"/>
          <w:szCs w:val="52"/>
          <w:lang w:val="en-US" w:eastAsia="zh-CN"/>
        </w:rPr>
        <w:t>农村供水</w:t>
      </w:r>
      <w:r>
        <w:rPr>
          <w:rFonts w:hint="eastAsia" w:ascii="宋体" w:hAnsi="宋体" w:eastAsia="宋体" w:cs="宋体"/>
          <w:b/>
          <w:bCs/>
          <w:spacing w:val="0"/>
          <w:sz w:val="52"/>
          <w:szCs w:val="52"/>
        </w:rPr>
        <w:t>保障规划编审人员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宋体" w:hAnsi="宋体" w:eastAsia="宋体" w:cs="宋体"/>
          <w:spacing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1260" w:leftChars="600" w:right="0" w:firstLine="803" w:firstLineChars="200"/>
        <w:jc w:val="both"/>
        <w:textAlignment w:val="baseline"/>
        <w:outlineLvl w:val="9"/>
        <w:rPr>
          <w:rFonts w:hint="eastAsia" w:ascii="宋体" w:hAnsi="宋体" w:eastAsia="宋体" w:cs="宋体"/>
          <w:spacing w:val="0"/>
          <w:sz w:val="40"/>
          <w:szCs w:val="40"/>
        </w:rPr>
      </w:pPr>
      <w:r>
        <w:rPr>
          <w:rFonts w:hint="eastAsia" w:ascii="宋体" w:hAnsi="宋体" w:eastAsia="宋体" w:cs="宋体"/>
          <w:b/>
          <w:spacing w:val="0"/>
          <w:sz w:val="40"/>
          <w:szCs w:val="40"/>
        </w:rPr>
        <w:t>批准：</w:t>
      </w:r>
      <w:r>
        <w:rPr>
          <w:rFonts w:hint="eastAsia" w:ascii="宋体" w:hAnsi="宋体" w:eastAsia="宋体" w:cs="宋体"/>
          <w:bCs/>
          <w:spacing w:val="0"/>
          <w:sz w:val="40"/>
          <w:szCs w:val="40"/>
        </w:rPr>
        <w:t>徐凯</w:t>
      </w:r>
    </w:p>
    <w:p>
      <w:pPr>
        <w:keepNext w:val="0"/>
        <w:keepLines w:val="0"/>
        <w:pageBreakBefore w:val="0"/>
        <w:widowControl/>
        <w:kinsoku w:val="0"/>
        <w:wordWrap/>
        <w:overflowPunct/>
        <w:topLinePunct w:val="0"/>
        <w:autoSpaceDE w:val="0"/>
        <w:autoSpaceDN w:val="0"/>
        <w:bidi w:val="0"/>
        <w:adjustRightInd w:val="0"/>
        <w:snapToGrid w:val="0"/>
        <w:spacing w:line="480" w:lineRule="auto"/>
        <w:ind w:left="1260" w:leftChars="600" w:right="0" w:firstLine="803" w:firstLineChars="200"/>
        <w:jc w:val="both"/>
        <w:textAlignment w:val="baseline"/>
        <w:outlineLvl w:val="9"/>
        <w:rPr>
          <w:rFonts w:hint="eastAsia" w:ascii="宋体" w:hAnsi="宋体" w:eastAsia="宋体" w:cs="宋体"/>
          <w:spacing w:val="0"/>
          <w:sz w:val="40"/>
          <w:szCs w:val="40"/>
        </w:rPr>
      </w:pPr>
      <w:r>
        <w:rPr>
          <w:rFonts w:hint="eastAsia" w:ascii="宋体" w:hAnsi="宋体" w:eastAsia="宋体" w:cs="宋体"/>
          <w:b/>
          <w:spacing w:val="0"/>
          <w:sz w:val="40"/>
          <w:szCs w:val="40"/>
        </w:rPr>
        <w:t>核定：</w:t>
      </w:r>
      <w:r>
        <w:rPr>
          <w:rFonts w:hint="eastAsia" w:ascii="宋体" w:hAnsi="宋体" w:eastAsia="宋体" w:cs="宋体"/>
          <w:spacing w:val="0"/>
          <w:sz w:val="40"/>
          <w:szCs w:val="40"/>
        </w:rPr>
        <w:t>龙艳梅</w:t>
      </w:r>
    </w:p>
    <w:p>
      <w:pPr>
        <w:keepNext w:val="0"/>
        <w:keepLines w:val="0"/>
        <w:pageBreakBefore w:val="0"/>
        <w:widowControl/>
        <w:kinsoku w:val="0"/>
        <w:wordWrap/>
        <w:overflowPunct/>
        <w:topLinePunct w:val="0"/>
        <w:autoSpaceDE w:val="0"/>
        <w:autoSpaceDN w:val="0"/>
        <w:bidi w:val="0"/>
        <w:adjustRightInd w:val="0"/>
        <w:snapToGrid w:val="0"/>
        <w:spacing w:line="480" w:lineRule="auto"/>
        <w:ind w:left="1260" w:leftChars="600" w:right="0" w:firstLine="803" w:firstLineChars="200"/>
        <w:jc w:val="both"/>
        <w:textAlignment w:val="baseline"/>
        <w:outlineLvl w:val="9"/>
        <w:rPr>
          <w:rFonts w:hint="eastAsia" w:ascii="宋体" w:hAnsi="宋体" w:eastAsia="宋体" w:cs="宋体"/>
          <w:color w:val="auto"/>
          <w:spacing w:val="0"/>
          <w:sz w:val="40"/>
          <w:szCs w:val="40"/>
          <w:lang w:val="en-US" w:eastAsia="zh-CN"/>
        </w:rPr>
      </w:pPr>
      <w:r>
        <w:rPr>
          <w:rFonts w:hint="eastAsia" w:ascii="宋体" w:hAnsi="宋体" w:eastAsia="宋体" w:cs="宋体"/>
          <w:b/>
          <w:color w:val="auto"/>
          <w:spacing w:val="0"/>
          <w:sz w:val="40"/>
          <w:szCs w:val="40"/>
          <w:lang w:val="en-US" w:eastAsia="zh-CN"/>
        </w:rPr>
        <w:t>编制</w:t>
      </w:r>
      <w:r>
        <w:rPr>
          <w:rFonts w:hint="eastAsia" w:ascii="宋体" w:hAnsi="宋体" w:eastAsia="宋体" w:cs="宋体"/>
          <w:b/>
          <w:color w:val="auto"/>
          <w:spacing w:val="0"/>
          <w:sz w:val="40"/>
          <w:szCs w:val="40"/>
        </w:rPr>
        <w:t>负责</w:t>
      </w:r>
      <w:r>
        <w:rPr>
          <w:rFonts w:hint="eastAsia" w:ascii="宋体" w:hAnsi="宋体" w:eastAsia="宋体" w:cs="宋体"/>
          <w:b/>
          <w:color w:val="auto"/>
          <w:spacing w:val="0"/>
          <w:sz w:val="40"/>
          <w:szCs w:val="40"/>
          <w:lang w:val="en-US" w:eastAsia="zh-CN"/>
        </w:rPr>
        <w:t>人</w:t>
      </w:r>
      <w:r>
        <w:rPr>
          <w:rFonts w:hint="eastAsia" w:ascii="宋体" w:hAnsi="宋体" w:eastAsia="宋体" w:cs="宋体"/>
          <w:b/>
          <w:color w:val="auto"/>
          <w:spacing w:val="0"/>
          <w:sz w:val="40"/>
          <w:szCs w:val="40"/>
        </w:rPr>
        <w:t>：</w:t>
      </w:r>
      <w:r>
        <w:rPr>
          <w:rFonts w:hint="eastAsia" w:ascii="宋体" w:hAnsi="宋体" w:eastAsia="宋体" w:cs="宋体"/>
          <w:color w:val="auto"/>
          <w:spacing w:val="0"/>
          <w:sz w:val="40"/>
          <w:szCs w:val="40"/>
          <w:lang w:val="en-US" w:eastAsia="zh-CN"/>
        </w:rPr>
        <w:t>龙艳梅</w:t>
      </w:r>
    </w:p>
    <w:p>
      <w:pPr>
        <w:keepNext w:val="0"/>
        <w:keepLines w:val="0"/>
        <w:pageBreakBefore w:val="0"/>
        <w:widowControl/>
        <w:kinsoku w:val="0"/>
        <w:wordWrap/>
        <w:overflowPunct/>
        <w:topLinePunct w:val="0"/>
        <w:autoSpaceDE w:val="0"/>
        <w:autoSpaceDN w:val="0"/>
        <w:bidi w:val="0"/>
        <w:adjustRightInd w:val="0"/>
        <w:snapToGrid w:val="0"/>
        <w:spacing w:line="480" w:lineRule="auto"/>
        <w:ind w:left="1260" w:leftChars="600" w:right="0" w:firstLine="803" w:firstLineChars="200"/>
        <w:jc w:val="both"/>
        <w:textAlignment w:val="baseline"/>
        <w:outlineLvl w:val="9"/>
        <w:rPr>
          <w:rFonts w:hint="eastAsia" w:ascii="宋体" w:hAnsi="宋体" w:eastAsia="宋体" w:cs="宋体"/>
          <w:spacing w:val="0"/>
          <w:sz w:val="40"/>
          <w:szCs w:val="40"/>
          <w:lang w:val="en-US" w:eastAsia="zh-CN"/>
        </w:rPr>
      </w:pPr>
      <w:r>
        <w:rPr>
          <w:rFonts w:hint="eastAsia" w:ascii="宋体" w:hAnsi="宋体" w:eastAsia="宋体" w:cs="宋体"/>
          <w:b/>
          <w:spacing w:val="0"/>
          <w:sz w:val="40"/>
          <w:szCs w:val="40"/>
        </w:rPr>
        <w:t>编制单位：</w:t>
      </w:r>
      <w:r>
        <w:rPr>
          <w:rFonts w:hint="eastAsia" w:ascii="宋体" w:hAnsi="宋体" w:eastAsia="宋体" w:cs="宋体"/>
          <w:spacing w:val="0"/>
          <w:sz w:val="40"/>
          <w:szCs w:val="40"/>
          <w:lang w:val="en-US" w:eastAsia="zh-CN"/>
        </w:rPr>
        <w:t>麻栗坡县水务局</w:t>
      </w:r>
    </w:p>
    <w:p>
      <w:pPr>
        <w:keepNext w:val="0"/>
        <w:keepLines w:val="0"/>
        <w:pageBreakBefore w:val="0"/>
        <w:widowControl/>
        <w:kinsoku w:val="0"/>
        <w:wordWrap/>
        <w:overflowPunct/>
        <w:topLinePunct w:val="0"/>
        <w:autoSpaceDE w:val="0"/>
        <w:autoSpaceDN w:val="0"/>
        <w:bidi w:val="0"/>
        <w:adjustRightInd w:val="0"/>
        <w:snapToGrid w:val="0"/>
        <w:spacing w:line="480" w:lineRule="auto"/>
        <w:ind w:left="1260" w:leftChars="600" w:right="0" w:firstLine="803" w:firstLineChars="200"/>
        <w:jc w:val="both"/>
        <w:textAlignment w:val="baseline"/>
        <w:outlineLvl w:val="9"/>
        <w:rPr>
          <w:rFonts w:hint="eastAsia" w:ascii="宋体" w:hAnsi="宋体" w:eastAsia="宋体" w:cs="宋体"/>
          <w:b/>
          <w:spacing w:val="0"/>
          <w:sz w:val="40"/>
          <w:szCs w:val="40"/>
        </w:rPr>
      </w:pPr>
      <w:r>
        <w:rPr>
          <w:rFonts w:hint="eastAsia" w:ascii="宋体" w:hAnsi="宋体" w:eastAsia="宋体" w:cs="宋体"/>
          <w:b/>
          <w:spacing w:val="0"/>
          <w:sz w:val="40"/>
          <w:szCs w:val="40"/>
        </w:rPr>
        <w:t>参加</w:t>
      </w:r>
      <w:r>
        <w:rPr>
          <w:rFonts w:hint="eastAsia" w:ascii="宋体" w:hAnsi="宋体" w:eastAsia="宋体" w:cs="宋体"/>
          <w:b/>
          <w:spacing w:val="0"/>
          <w:sz w:val="40"/>
          <w:szCs w:val="40"/>
          <w:lang w:val="en-US" w:eastAsia="zh-CN"/>
        </w:rPr>
        <w:t>编制</w:t>
      </w:r>
      <w:r>
        <w:rPr>
          <w:rFonts w:hint="eastAsia" w:ascii="宋体" w:hAnsi="宋体" w:eastAsia="宋体" w:cs="宋体"/>
          <w:b/>
          <w:spacing w:val="0"/>
          <w:sz w:val="40"/>
          <w:szCs w:val="40"/>
        </w:rPr>
        <w:t>及工作人员：</w:t>
      </w:r>
    </w:p>
    <w:p>
      <w:pPr>
        <w:keepNext w:val="0"/>
        <w:keepLines w:val="0"/>
        <w:pageBreakBefore w:val="0"/>
        <w:widowControl/>
        <w:kinsoku w:val="0"/>
        <w:wordWrap/>
        <w:overflowPunct/>
        <w:topLinePunct w:val="0"/>
        <w:autoSpaceDE w:val="0"/>
        <w:autoSpaceDN w:val="0"/>
        <w:bidi w:val="0"/>
        <w:adjustRightInd w:val="0"/>
        <w:snapToGrid w:val="0"/>
        <w:spacing w:line="480" w:lineRule="auto"/>
        <w:ind w:left="1260" w:leftChars="600" w:right="0" w:firstLine="800" w:firstLineChars="200"/>
        <w:jc w:val="both"/>
        <w:textAlignment w:val="baseline"/>
        <w:outlineLvl w:val="9"/>
        <w:rPr>
          <w:rFonts w:hint="eastAsia" w:ascii="宋体" w:hAnsi="宋体" w:eastAsia="宋体" w:cs="宋体"/>
          <w:spacing w:val="0"/>
          <w:sz w:val="40"/>
          <w:szCs w:val="40"/>
        </w:rPr>
      </w:pPr>
      <w:r>
        <w:rPr>
          <w:rFonts w:hint="eastAsia" w:ascii="宋体" w:hAnsi="宋体" w:eastAsia="宋体" w:cs="宋体"/>
          <w:spacing w:val="0"/>
          <w:sz w:val="40"/>
          <w:szCs w:val="40"/>
        </w:rPr>
        <w:t>龙艳梅</w:t>
      </w:r>
      <w:r>
        <w:rPr>
          <w:rFonts w:hint="eastAsia" w:ascii="宋体" w:hAnsi="宋体" w:eastAsia="宋体" w:cs="宋体"/>
          <w:spacing w:val="0"/>
          <w:sz w:val="40"/>
          <w:szCs w:val="40"/>
          <w:lang w:val="en-US" w:eastAsia="zh-CN"/>
        </w:rPr>
        <w:t xml:space="preserve">  </w:t>
      </w:r>
      <w:r>
        <w:rPr>
          <w:rFonts w:hint="eastAsia" w:ascii="宋体" w:hAnsi="宋体" w:eastAsia="宋体" w:cs="宋体"/>
          <w:spacing w:val="0"/>
          <w:sz w:val="40"/>
          <w:szCs w:val="40"/>
        </w:rPr>
        <w:t>马朝宽</w:t>
      </w:r>
      <w:r>
        <w:rPr>
          <w:rFonts w:hint="eastAsia" w:ascii="宋体" w:hAnsi="宋体" w:eastAsia="宋体" w:cs="宋体"/>
          <w:spacing w:val="0"/>
          <w:sz w:val="40"/>
          <w:szCs w:val="40"/>
          <w:lang w:val="en-US" w:eastAsia="zh-CN"/>
        </w:rPr>
        <w:t xml:space="preserve">  冯永西  </w:t>
      </w:r>
      <w:r>
        <w:rPr>
          <w:rFonts w:hint="eastAsia" w:ascii="宋体" w:hAnsi="宋体" w:eastAsia="宋体" w:cs="宋体"/>
          <w:spacing w:val="0"/>
          <w:sz w:val="40"/>
          <w:szCs w:val="40"/>
        </w:rPr>
        <w:t>胥佑来</w:t>
      </w:r>
      <w:r>
        <w:rPr>
          <w:rFonts w:hint="eastAsia" w:ascii="宋体" w:hAnsi="宋体" w:eastAsia="宋体" w:cs="宋体"/>
          <w:spacing w:val="0"/>
          <w:sz w:val="40"/>
          <w:szCs w:val="40"/>
          <w:lang w:val="en-US" w:eastAsia="zh-CN"/>
        </w:rPr>
        <w:t xml:space="preserve">  陈  丹  </w:t>
      </w:r>
      <w:r>
        <w:rPr>
          <w:rFonts w:hint="eastAsia" w:ascii="宋体" w:hAnsi="宋体" w:eastAsia="宋体" w:cs="宋体"/>
          <w:spacing w:val="0"/>
          <w:sz w:val="40"/>
          <w:szCs w:val="40"/>
        </w:rPr>
        <w:t>李吉林</w:t>
      </w:r>
    </w:p>
    <w:p>
      <w:pPr>
        <w:keepNext w:val="0"/>
        <w:keepLines w:val="0"/>
        <w:pageBreakBefore w:val="0"/>
        <w:widowControl/>
        <w:kinsoku w:val="0"/>
        <w:wordWrap/>
        <w:overflowPunct/>
        <w:topLinePunct w:val="0"/>
        <w:autoSpaceDE w:val="0"/>
        <w:autoSpaceDN w:val="0"/>
        <w:bidi w:val="0"/>
        <w:adjustRightInd w:val="0"/>
        <w:snapToGrid w:val="0"/>
        <w:spacing w:line="480" w:lineRule="auto"/>
        <w:ind w:left="1260" w:leftChars="600" w:right="0" w:firstLine="800" w:firstLineChars="200"/>
        <w:jc w:val="both"/>
        <w:textAlignment w:val="baseline"/>
        <w:outlineLvl w:val="9"/>
        <w:rPr>
          <w:rFonts w:hint="eastAsia" w:ascii="宋体" w:hAnsi="宋体" w:eastAsia="宋体" w:cs="宋体"/>
          <w:spacing w:val="0"/>
          <w:sz w:val="40"/>
          <w:szCs w:val="40"/>
        </w:rPr>
      </w:pPr>
      <w:r>
        <w:rPr>
          <w:rFonts w:hint="eastAsia" w:ascii="宋体" w:hAnsi="宋体" w:eastAsia="宋体" w:cs="宋体"/>
          <w:spacing w:val="0"/>
          <w:sz w:val="40"/>
          <w:szCs w:val="40"/>
        </w:rPr>
        <w:t>保加兴</w:t>
      </w:r>
      <w:r>
        <w:rPr>
          <w:rFonts w:hint="eastAsia" w:ascii="宋体" w:hAnsi="宋体" w:eastAsia="宋体" w:cs="宋体"/>
          <w:spacing w:val="0"/>
          <w:sz w:val="40"/>
          <w:szCs w:val="40"/>
          <w:lang w:val="en-US" w:eastAsia="zh-CN"/>
        </w:rPr>
        <w:t xml:space="preserve">  </w:t>
      </w:r>
      <w:r>
        <w:rPr>
          <w:rFonts w:hint="eastAsia" w:ascii="宋体" w:hAnsi="宋体" w:eastAsia="宋体" w:cs="宋体"/>
          <w:spacing w:val="0"/>
          <w:sz w:val="40"/>
          <w:szCs w:val="40"/>
        </w:rPr>
        <w:t>胡昌军</w:t>
      </w:r>
      <w:r>
        <w:rPr>
          <w:rFonts w:hint="eastAsia" w:ascii="宋体" w:hAnsi="宋体" w:eastAsia="宋体" w:cs="宋体"/>
          <w:spacing w:val="0"/>
          <w:sz w:val="40"/>
          <w:szCs w:val="40"/>
          <w:lang w:val="en-US" w:eastAsia="zh-CN"/>
        </w:rPr>
        <w:t xml:space="preserve">  </w:t>
      </w:r>
      <w:r>
        <w:rPr>
          <w:rFonts w:hint="eastAsia" w:ascii="宋体" w:hAnsi="宋体" w:eastAsia="宋体" w:cs="宋体"/>
          <w:spacing w:val="0"/>
          <w:sz w:val="40"/>
          <w:szCs w:val="40"/>
        </w:rPr>
        <w:t>文兴莹</w:t>
      </w:r>
      <w:r>
        <w:rPr>
          <w:rFonts w:hint="eastAsia" w:ascii="宋体" w:hAnsi="宋体" w:eastAsia="宋体" w:cs="宋体"/>
          <w:spacing w:val="0"/>
          <w:sz w:val="40"/>
          <w:szCs w:val="40"/>
          <w:lang w:val="en-US" w:eastAsia="zh-CN"/>
        </w:rPr>
        <w:t xml:space="preserve">  </w:t>
      </w:r>
      <w:r>
        <w:rPr>
          <w:rFonts w:hint="eastAsia" w:ascii="宋体" w:hAnsi="宋体" w:eastAsia="宋体" w:cs="宋体"/>
          <w:spacing w:val="0"/>
          <w:sz w:val="40"/>
          <w:szCs w:val="40"/>
        </w:rPr>
        <w:t>何佳艳</w:t>
      </w:r>
      <w:r>
        <w:rPr>
          <w:rFonts w:hint="eastAsia" w:ascii="宋体" w:hAnsi="宋体" w:eastAsia="宋体" w:cs="宋体"/>
          <w:spacing w:val="0"/>
          <w:sz w:val="40"/>
          <w:szCs w:val="40"/>
          <w:lang w:val="en-US" w:eastAsia="zh-CN"/>
        </w:rPr>
        <w:t xml:space="preserve">  </w:t>
      </w:r>
      <w:r>
        <w:rPr>
          <w:rFonts w:hint="eastAsia" w:ascii="宋体" w:hAnsi="宋体" w:eastAsia="宋体" w:cs="宋体"/>
          <w:spacing w:val="0"/>
          <w:sz w:val="40"/>
          <w:szCs w:val="40"/>
        </w:rPr>
        <w:t>关建明</w:t>
      </w:r>
      <w:r>
        <w:rPr>
          <w:rFonts w:hint="eastAsia" w:ascii="宋体" w:hAnsi="宋体" w:eastAsia="宋体" w:cs="宋体"/>
          <w:spacing w:val="0"/>
          <w:sz w:val="40"/>
          <w:szCs w:val="40"/>
          <w:lang w:val="en-US" w:eastAsia="zh-CN"/>
        </w:rPr>
        <w:t xml:space="preserve">  </w:t>
      </w:r>
      <w:r>
        <w:rPr>
          <w:rFonts w:hint="eastAsia" w:ascii="宋体" w:hAnsi="宋体" w:eastAsia="宋体" w:cs="宋体"/>
          <w:spacing w:val="0"/>
          <w:sz w:val="40"/>
          <w:szCs w:val="40"/>
        </w:rPr>
        <w:t>罗国雄</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40" w:firstLineChars="200"/>
        <w:jc w:val="both"/>
        <w:textAlignment w:val="baseline"/>
        <w:outlineLvl w:val="9"/>
        <w:rPr>
          <w:rFonts w:hint="eastAsia" w:ascii="宋体" w:hAnsi="宋体" w:eastAsia="宋体" w:cs="宋体"/>
          <w:spacing w:val="0"/>
          <w:sz w:val="32"/>
          <w:szCs w:val="32"/>
        </w:rPr>
      </w:pPr>
    </w:p>
    <w:sdt>
      <w:sdtPr>
        <w:rPr>
          <w:rFonts w:hint="eastAsia" w:ascii="宋体" w:hAnsi="宋体" w:eastAsia="宋体" w:cs="宋体"/>
          <w:snapToGrid w:val="0"/>
          <w:color w:val="000000"/>
          <w:spacing w:val="0"/>
          <w:kern w:val="0"/>
          <w:sz w:val="32"/>
          <w:szCs w:val="32"/>
          <w:lang w:val="en-US" w:eastAsia="en-US" w:bidi="ar-SA"/>
        </w:rPr>
        <w:id w:val="147475727"/>
        <w:docPartObj>
          <w:docPartGallery w:val="Table of Contents"/>
          <w:docPartUnique/>
        </w:docPartObj>
      </w:sdtPr>
      <w:sdtEndPr>
        <w:rPr>
          <w:rFonts w:hint="eastAsia" w:ascii="宋体" w:hAnsi="宋体" w:eastAsia="宋体" w:cs="宋体"/>
          <w:snapToGrid w:val="0"/>
          <w:color w:val="000000"/>
          <w:spacing w:val="0"/>
          <w:kern w:val="0"/>
          <w:sz w:val="21"/>
          <w:szCs w:val="21"/>
          <w:lang w:val="en-US" w:eastAsia="en-US"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pacing w:val="0"/>
              <w:sz w:val="52"/>
              <w:szCs w:val="52"/>
            </w:rPr>
          </w:pPr>
          <w:bookmarkStart w:id="0" w:name="_Toc18704_WPSOffice_Type2"/>
          <w:r>
            <w:rPr>
              <w:rFonts w:hint="eastAsia" w:ascii="宋体" w:hAnsi="宋体" w:eastAsia="宋体" w:cs="宋体"/>
              <w:spacing w:val="0"/>
              <w:sz w:val="52"/>
              <w:szCs w:val="52"/>
            </w:rPr>
            <w:t>目录</w:t>
          </w:r>
        </w:p>
        <w:p>
          <w:pPr>
            <w:pStyle w:val="11"/>
            <w:tabs>
              <w:tab w:val="right" w:leader="dot" w:pos="14457"/>
            </w:tabs>
            <w:rPr>
              <w:rFonts w:hint="eastAsia" w:ascii="宋体" w:hAnsi="宋体" w:eastAsia="宋体" w:cs="宋体"/>
              <w:spacing w:val="0"/>
              <w:sz w:val="32"/>
              <w:szCs w:val="32"/>
            </w:rPr>
          </w:pPr>
          <w:r>
            <w:rPr>
              <w:rFonts w:hint="eastAsia" w:ascii="宋体" w:hAnsi="宋体" w:eastAsia="宋体" w:cs="宋体"/>
              <w:b/>
              <w:bCs/>
              <w:spacing w:val="0"/>
              <w:sz w:val="32"/>
              <w:szCs w:val="32"/>
            </w:rPr>
            <w:fldChar w:fldCharType="begin"/>
          </w:r>
          <w:r>
            <w:rPr>
              <w:rFonts w:hint="eastAsia" w:ascii="宋体" w:hAnsi="宋体" w:eastAsia="宋体" w:cs="宋体"/>
              <w:spacing w:val="0"/>
              <w:sz w:val="32"/>
              <w:szCs w:val="32"/>
            </w:rPr>
            <w:instrText xml:space="preserve"> HYPERLINK \l _Toc5625_WPSOffice_Level1 </w:instrText>
          </w:r>
          <w:r>
            <w:rPr>
              <w:rFonts w:hint="eastAsia" w:ascii="宋体" w:hAnsi="宋体" w:eastAsia="宋体" w:cs="宋体"/>
              <w:b/>
              <w:bCs/>
              <w:spacing w:val="0"/>
              <w:sz w:val="32"/>
              <w:szCs w:val="32"/>
            </w:rPr>
            <w:fldChar w:fldCharType="separate"/>
          </w:r>
          <w:sdt>
            <w:sdtPr>
              <w:rPr>
                <w:rFonts w:hint="eastAsia" w:ascii="宋体" w:hAnsi="宋体" w:eastAsia="宋体" w:cs="宋体"/>
                <w:b/>
                <w:bCs/>
                <w:snapToGrid w:val="0"/>
                <w:color w:val="000000"/>
                <w:spacing w:val="0"/>
                <w:kern w:val="0"/>
                <w:sz w:val="36"/>
                <w:szCs w:val="36"/>
                <w:lang w:val="en-US" w:eastAsia="en-US" w:bidi="ar-SA"/>
              </w:rPr>
              <w:id w:val="147475727"/>
              <w:placeholder>
                <w:docPart w:val="{d835ac30-3bc0-4df2-a603-dda482131fa5}"/>
              </w:placeholder>
            </w:sdtPr>
            <w:sdtEndPr>
              <w:rPr>
                <w:rFonts w:hint="eastAsia" w:ascii="宋体" w:hAnsi="宋体" w:eastAsia="宋体" w:cs="宋体"/>
                <w:b/>
                <w:bCs/>
                <w:snapToGrid w:val="0"/>
                <w:color w:val="000000"/>
                <w:spacing w:val="0"/>
                <w:kern w:val="0"/>
                <w:sz w:val="36"/>
                <w:szCs w:val="36"/>
                <w:lang w:val="en-US" w:eastAsia="en-US" w:bidi="ar-SA"/>
              </w:rPr>
            </w:sdtEndPr>
            <w:sdtContent>
              <w:r>
                <w:rPr>
                  <w:rFonts w:hint="eastAsia" w:ascii="宋体" w:hAnsi="宋体" w:eastAsia="宋体" w:cs="宋体"/>
                  <w:b/>
                  <w:bCs/>
                  <w:spacing w:val="0"/>
                  <w:sz w:val="32"/>
                  <w:szCs w:val="32"/>
                </w:rPr>
                <w:t>前  言</w:t>
              </w:r>
            </w:sdtContent>
          </w:sdt>
          <w:r>
            <w:rPr>
              <w:rFonts w:hint="eastAsia" w:ascii="宋体" w:hAnsi="宋体" w:eastAsia="宋体" w:cs="宋体"/>
              <w:b/>
              <w:bCs/>
              <w:spacing w:val="0"/>
              <w:sz w:val="32"/>
              <w:szCs w:val="32"/>
            </w:rPr>
            <w:tab/>
          </w:r>
          <w:bookmarkStart w:id="1" w:name="_Toc5625_WPSOffice_Level1Page"/>
          <w:r>
            <w:rPr>
              <w:rFonts w:hint="eastAsia" w:ascii="宋体" w:hAnsi="宋体" w:eastAsia="宋体" w:cs="宋体"/>
              <w:b/>
              <w:bCs/>
              <w:spacing w:val="0"/>
              <w:sz w:val="32"/>
              <w:szCs w:val="32"/>
            </w:rPr>
            <w:t>1</w:t>
          </w:r>
          <w:bookmarkEnd w:id="1"/>
          <w:r>
            <w:rPr>
              <w:rFonts w:hint="eastAsia" w:ascii="宋体" w:hAnsi="宋体" w:eastAsia="宋体" w:cs="宋体"/>
              <w:b/>
              <w:bCs/>
              <w:spacing w:val="0"/>
              <w:sz w:val="32"/>
              <w:szCs w:val="32"/>
            </w:rPr>
            <w:fldChar w:fldCharType="end"/>
          </w:r>
        </w:p>
        <w:p>
          <w:pPr>
            <w:pStyle w:val="11"/>
            <w:tabs>
              <w:tab w:val="right" w:leader="dot" w:pos="14457"/>
            </w:tabs>
            <w:rPr>
              <w:rFonts w:hint="eastAsia" w:ascii="宋体" w:hAnsi="宋体" w:eastAsia="宋体" w:cs="宋体"/>
              <w:spacing w:val="0"/>
              <w:sz w:val="32"/>
              <w:szCs w:val="32"/>
            </w:rPr>
          </w:pPr>
          <w:r>
            <w:rPr>
              <w:rFonts w:hint="eastAsia" w:ascii="宋体" w:hAnsi="宋体" w:eastAsia="宋体" w:cs="宋体"/>
              <w:b/>
              <w:bCs/>
              <w:spacing w:val="0"/>
              <w:sz w:val="32"/>
              <w:szCs w:val="32"/>
            </w:rPr>
            <w:fldChar w:fldCharType="begin"/>
          </w:r>
          <w:r>
            <w:rPr>
              <w:rFonts w:hint="eastAsia" w:ascii="宋体" w:hAnsi="宋体" w:eastAsia="宋体" w:cs="宋体"/>
              <w:spacing w:val="0"/>
              <w:sz w:val="32"/>
              <w:szCs w:val="32"/>
            </w:rPr>
            <w:instrText xml:space="preserve"> HYPERLINK \l _Toc18704_WPSOffice_Level1 </w:instrText>
          </w:r>
          <w:r>
            <w:rPr>
              <w:rFonts w:hint="eastAsia" w:ascii="宋体" w:hAnsi="宋体" w:eastAsia="宋体" w:cs="宋体"/>
              <w:b/>
              <w:bCs/>
              <w:spacing w:val="0"/>
              <w:sz w:val="32"/>
              <w:szCs w:val="32"/>
            </w:rPr>
            <w:fldChar w:fldCharType="separate"/>
          </w:r>
          <w:sdt>
            <w:sdtPr>
              <w:rPr>
                <w:rFonts w:hint="eastAsia" w:ascii="宋体" w:hAnsi="宋体" w:eastAsia="宋体" w:cs="宋体"/>
                <w:b/>
                <w:bCs/>
                <w:snapToGrid w:val="0"/>
                <w:color w:val="000000"/>
                <w:spacing w:val="0"/>
                <w:kern w:val="0"/>
                <w:sz w:val="36"/>
                <w:szCs w:val="36"/>
                <w:lang w:val="en-US" w:eastAsia="en-US" w:bidi="ar-SA"/>
              </w:rPr>
              <w:id w:val="147475727"/>
              <w:placeholder>
                <w:docPart w:val="{691ac562-5f58-4de4-8a05-2d926e1aefba}"/>
              </w:placeholder>
            </w:sdtPr>
            <w:sdtEndPr>
              <w:rPr>
                <w:rFonts w:hint="eastAsia" w:ascii="宋体" w:hAnsi="宋体" w:eastAsia="宋体" w:cs="宋体"/>
                <w:b/>
                <w:bCs/>
                <w:snapToGrid w:val="0"/>
                <w:color w:val="000000"/>
                <w:spacing w:val="0"/>
                <w:kern w:val="0"/>
                <w:sz w:val="36"/>
                <w:szCs w:val="36"/>
                <w:lang w:val="en-US" w:eastAsia="en-US" w:bidi="ar-SA"/>
              </w:rPr>
            </w:sdtEndPr>
            <w:sdtContent>
              <w:r>
                <w:rPr>
                  <w:rFonts w:hint="eastAsia" w:ascii="宋体" w:hAnsi="宋体" w:eastAsia="宋体" w:cs="宋体"/>
                  <w:b/>
                  <w:bCs/>
                  <w:spacing w:val="0"/>
                  <w:sz w:val="32"/>
                  <w:szCs w:val="32"/>
                </w:rPr>
                <w:t>1 农村供水现状</w:t>
              </w:r>
            </w:sdtContent>
          </w:sdt>
          <w:r>
            <w:rPr>
              <w:rFonts w:hint="eastAsia" w:ascii="宋体" w:hAnsi="宋体" w:eastAsia="宋体" w:cs="宋体"/>
              <w:b/>
              <w:bCs/>
              <w:spacing w:val="0"/>
              <w:sz w:val="32"/>
              <w:szCs w:val="32"/>
            </w:rPr>
            <w:tab/>
          </w:r>
          <w:bookmarkStart w:id="2" w:name="_Toc18704_WPSOffice_Level1Page"/>
          <w:r>
            <w:rPr>
              <w:rFonts w:hint="eastAsia" w:ascii="宋体" w:hAnsi="宋体" w:eastAsia="宋体" w:cs="宋体"/>
              <w:b/>
              <w:bCs/>
              <w:spacing w:val="0"/>
              <w:sz w:val="32"/>
              <w:szCs w:val="32"/>
            </w:rPr>
            <w:t>2</w:t>
          </w:r>
          <w:bookmarkEnd w:id="2"/>
          <w:r>
            <w:rPr>
              <w:rFonts w:hint="eastAsia" w:ascii="宋体" w:hAnsi="宋体" w:eastAsia="宋体" w:cs="宋体"/>
              <w:b/>
              <w:bCs/>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_Toc18704_WPSOffice_Level2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36c87b30-8710-4dcf-b288-de915500a191}"/>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1.1 麻栗坡县基本情况</w:t>
              </w:r>
            </w:sdtContent>
          </w:sdt>
          <w:r>
            <w:rPr>
              <w:rFonts w:hint="eastAsia" w:ascii="宋体" w:hAnsi="宋体" w:eastAsia="宋体" w:cs="宋体"/>
              <w:spacing w:val="0"/>
              <w:sz w:val="32"/>
              <w:szCs w:val="32"/>
            </w:rPr>
            <w:tab/>
          </w:r>
          <w:bookmarkStart w:id="3" w:name="_Toc18704_WPSOffice_Level2Page"/>
          <w:r>
            <w:rPr>
              <w:rFonts w:hint="eastAsia" w:ascii="宋体" w:hAnsi="宋体" w:eastAsia="宋体" w:cs="宋体"/>
              <w:spacing w:val="0"/>
              <w:sz w:val="32"/>
              <w:szCs w:val="32"/>
            </w:rPr>
            <w:t>2</w:t>
          </w:r>
          <w:bookmarkEnd w:id="3"/>
          <w:r>
            <w:rPr>
              <w:rFonts w:hint="eastAsia" w:ascii="宋体" w:hAnsi="宋体" w:eastAsia="宋体" w:cs="宋体"/>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_Toc20938_WPSOffice_Level2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ef42fa54-6a76-49af-9e24-d51321415eaf}"/>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1.2 麻栗坡县“十三五”规划实施情况及成效</w:t>
              </w:r>
            </w:sdtContent>
          </w:sdt>
          <w:r>
            <w:rPr>
              <w:rFonts w:hint="eastAsia" w:ascii="宋体" w:hAnsi="宋体" w:eastAsia="宋体" w:cs="宋体"/>
              <w:spacing w:val="0"/>
              <w:sz w:val="32"/>
              <w:szCs w:val="32"/>
            </w:rPr>
            <w:tab/>
          </w:r>
          <w:bookmarkStart w:id="4" w:name="_Toc20938_WPSOffice_Level2Page"/>
          <w:r>
            <w:rPr>
              <w:rFonts w:hint="eastAsia" w:ascii="宋体" w:hAnsi="宋体" w:eastAsia="宋体" w:cs="宋体"/>
              <w:spacing w:val="0"/>
              <w:sz w:val="32"/>
              <w:szCs w:val="32"/>
            </w:rPr>
            <w:t>5</w:t>
          </w:r>
          <w:bookmarkEnd w:id="4"/>
          <w:r>
            <w:rPr>
              <w:rFonts w:hint="eastAsia" w:ascii="宋体" w:hAnsi="宋体" w:eastAsia="宋体" w:cs="宋体"/>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_Toc20030_WPSOffice_Level2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042f7c12-4947-4b1a-aba1-379cb4399eb5}"/>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1.3存在主要问题及原因</w:t>
              </w:r>
            </w:sdtContent>
          </w:sdt>
          <w:r>
            <w:rPr>
              <w:rFonts w:hint="eastAsia" w:ascii="宋体" w:hAnsi="宋体" w:eastAsia="宋体" w:cs="宋体"/>
              <w:spacing w:val="0"/>
              <w:sz w:val="32"/>
              <w:szCs w:val="32"/>
            </w:rPr>
            <w:tab/>
          </w:r>
          <w:bookmarkStart w:id="5" w:name="_Toc20030_WPSOffice_Level2Page"/>
          <w:r>
            <w:rPr>
              <w:rFonts w:hint="eastAsia" w:ascii="宋体" w:hAnsi="宋体" w:eastAsia="宋体" w:cs="宋体"/>
              <w:spacing w:val="0"/>
              <w:sz w:val="32"/>
              <w:szCs w:val="32"/>
            </w:rPr>
            <w:t>5</w:t>
          </w:r>
          <w:bookmarkEnd w:id="5"/>
          <w:r>
            <w:rPr>
              <w:rFonts w:hint="eastAsia" w:ascii="宋体" w:hAnsi="宋体" w:eastAsia="宋体" w:cs="宋体"/>
              <w:spacing w:val="0"/>
              <w:sz w:val="32"/>
              <w:szCs w:val="32"/>
            </w:rPr>
            <w:fldChar w:fldCharType="end"/>
          </w:r>
        </w:p>
        <w:p>
          <w:pPr>
            <w:pStyle w:val="11"/>
            <w:tabs>
              <w:tab w:val="right" w:leader="dot" w:pos="14457"/>
            </w:tabs>
            <w:rPr>
              <w:rFonts w:hint="eastAsia" w:ascii="宋体" w:hAnsi="宋体" w:eastAsia="宋体" w:cs="宋体"/>
              <w:spacing w:val="0"/>
              <w:sz w:val="32"/>
              <w:szCs w:val="32"/>
            </w:rPr>
          </w:pPr>
          <w:r>
            <w:rPr>
              <w:rFonts w:hint="eastAsia" w:ascii="宋体" w:hAnsi="宋体" w:eastAsia="宋体" w:cs="宋体"/>
              <w:b/>
              <w:bCs/>
              <w:spacing w:val="0"/>
              <w:sz w:val="32"/>
              <w:szCs w:val="32"/>
            </w:rPr>
            <w:fldChar w:fldCharType="begin"/>
          </w:r>
          <w:r>
            <w:rPr>
              <w:rFonts w:hint="eastAsia" w:ascii="宋体" w:hAnsi="宋体" w:eastAsia="宋体" w:cs="宋体"/>
              <w:spacing w:val="0"/>
              <w:sz w:val="32"/>
              <w:szCs w:val="32"/>
            </w:rPr>
            <w:instrText xml:space="preserve"> HYPERLINK \l _Toc20938_WPSOffice_Level1 </w:instrText>
          </w:r>
          <w:r>
            <w:rPr>
              <w:rFonts w:hint="eastAsia" w:ascii="宋体" w:hAnsi="宋体" w:eastAsia="宋体" w:cs="宋体"/>
              <w:b/>
              <w:bCs/>
              <w:spacing w:val="0"/>
              <w:sz w:val="32"/>
              <w:szCs w:val="32"/>
            </w:rPr>
            <w:fldChar w:fldCharType="separate"/>
          </w:r>
          <w:sdt>
            <w:sdtPr>
              <w:rPr>
                <w:rFonts w:hint="eastAsia" w:ascii="宋体" w:hAnsi="宋体" w:eastAsia="宋体" w:cs="宋体"/>
                <w:b/>
                <w:bCs/>
                <w:snapToGrid w:val="0"/>
                <w:color w:val="000000"/>
                <w:spacing w:val="0"/>
                <w:kern w:val="0"/>
                <w:sz w:val="36"/>
                <w:szCs w:val="36"/>
                <w:lang w:val="en-US" w:eastAsia="en-US" w:bidi="ar-SA"/>
              </w:rPr>
              <w:id w:val="147475727"/>
              <w:placeholder>
                <w:docPart w:val="{b10efc4f-b377-4676-8636-2661530c2847}"/>
              </w:placeholder>
            </w:sdtPr>
            <w:sdtEndPr>
              <w:rPr>
                <w:rFonts w:hint="eastAsia" w:ascii="宋体" w:hAnsi="宋体" w:eastAsia="宋体" w:cs="宋体"/>
                <w:b/>
                <w:bCs/>
                <w:snapToGrid w:val="0"/>
                <w:color w:val="000000"/>
                <w:spacing w:val="0"/>
                <w:kern w:val="0"/>
                <w:sz w:val="36"/>
                <w:szCs w:val="36"/>
                <w:lang w:val="en-US" w:eastAsia="en-US" w:bidi="ar-SA"/>
              </w:rPr>
            </w:sdtEndPr>
            <w:sdtContent>
              <w:r>
                <w:rPr>
                  <w:rFonts w:hint="eastAsia" w:ascii="宋体" w:hAnsi="宋体" w:eastAsia="宋体" w:cs="宋体"/>
                  <w:b/>
                  <w:bCs/>
                  <w:spacing w:val="0"/>
                  <w:sz w:val="32"/>
                  <w:szCs w:val="32"/>
                </w:rPr>
                <w:t>2 面临形势</w:t>
              </w:r>
            </w:sdtContent>
          </w:sdt>
          <w:r>
            <w:rPr>
              <w:rFonts w:hint="eastAsia" w:ascii="宋体" w:hAnsi="宋体" w:eastAsia="宋体" w:cs="宋体"/>
              <w:b/>
              <w:bCs/>
              <w:spacing w:val="0"/>
              <w:sz w:val="32"/>
              <w:szCs w:val="32"/>
            </w:rPr>
            <w:tab/>
          </w:r>
          <w:bookmarkStart w:id="6" w:name="_Toc20938_WPSOffice_Level1Page"/>
          <w:r>
            <w:rPr>
              <w:rFonts w:hint="eastAsia" w:ascii="宋体" w:hAnsi="宋体" w:eastAsia="宋体" w:cs="宋体"/>
              <w:b/>
              <w:bCs/>
              <w:spacing w:val="0"/>
              <w:sz w:val="32"/>
              <w:szCs w:val="32"/>
            </w:rPr>
            <w:t>6</w:t>
          </w:r>
          <w:bookmarkEnd w:id="6"/>
          <w:r>
            <w:rPr>
              <w:rFonts w:hint="eastAsia" w:ascii="宋体" w:hAnsi="宋体" w:eastAsia="宋体" w:cs="宋体"/>
              <w:b/>
              <w:bCs/>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_Toc20782_WPSOffice_Level2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7bf28585-973d-4635-a0d8-dd39e0932ee7}"/>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2.1 区域互济、资源共享</w:t>
              </w:r>
            </w:sdtContent>
          </w:sdt>
          <w:r>
            <w:rPr>
              <w:rFonts w:hint="eastAsia" w:ascii="宋体" w:hAnsi="宋体" w:eastAsia="宋体" w:cs="宋体"/>
              <w:spacing w:val="0"/>
              <w:sz w:val="32"/>
              <w:szCs w:val="32"/>
            </w:rPr>
            <w:tab/>
          </w:r>
          <w:bookmarkStart w:id="7" w:name="_Toc20782_WPSOffice_Level2Page"/>
          <w:r>
            <w:rPr>
              <w:rFonts w:hint="eastAsia" w:ascii="宋体" w:hAnsi="宋体" w:eastAsia="宋体" w:cs="宋体"/>
              <w:spacing w:val="0"/>
              <w:sz w:val="32"/>
              <w:szCs w:val="32"/>
            </w:rPr>
            <w:t>6</w:t>
          </w:r>
          <w:bookmarkEnd w:id="7"/>
          <w:r>
            <w:rPr>
              <w:rFonts w:hint="eastAsia" w:ascii="宋体" w:hAnsi="宋体" w:eastAsia="宋体" w:cs="宋体"/>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_Toc27369_WPSOffice_Level2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5cccbfbc-fbd4-4463-aa83-01c57444a5c5}"/>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2.2 缩小城乡供水差别、促进农村供水巩固提升</w:t>
              </w:r>
            </w:sdtContent>
          </w:sdt>
          <w:r>
            <w:rPr>
              <w:rFonts w:hint="eastAsia" w:ascii="宋体" w:hAnsi="宋体" w:eastAsia="宋体" w:cs="宋体"/>
              <w:spacing w:val="0"/>
              <w:sz w:val="32"/>
              <w:szCs w:val="32"/>
            </w:rPr>
            <w:tab/>
          </w:r>
          <w:bookmarkStart w:id="8" w:name="_Toc27369_WPSOffice_Level2Page"/>
          <w:r>
            <w:rPr>
              <w:rFonts w:hint="eastAsia" w:ascii="宋体" w:hAnsi="宋体" w:eastAsia="宋体" w:cs="宋体"/>
              <w:spacing w:val="0"/>
              <w:sz w:val="32"/>
              <w:szCs w:val="32"/>
            </w:rPr>
            <w:t>6</w:t>
          </w:r>
          <w:bookmarkEnd w:id="8"/>
          <w:r>
            <w:rPr>
              <w:rFonts w:hint="eastAsia" w:ascii="宋体" w:hAnsi="宋体" w:eastAsia="宋体" w:cs="宋体"/>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_Toc21443_WPSOffice_Level2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46e19469-07b9-4a1b-ba8c-0a0405da1654}"/>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2.3 便于统筹管理，促进水务一体化进程</w:t>
              </w:r>
            </w:sdtContent>
          </w:sdt>
          <w:r>
            <w:rPr>
              <w:rFonts w:hint="eastAsia" w:ascii="宋体" w:hAnsi="宋体" w:eastAsia="宋体" w:cs="宋体"/>
              <w:spacing w:val="0"/>
              <w:sz w:val="32"/>
              <w:szCs w:val="32"/>
            </w:rPr>
            <w:tab/>
          </w:r>
          <w:bookmarkStart w:id="9" w:name="_Toc21443_WPSOffice_Level2Page"/>
          <w:r>
            <w:rPr>
              <w:rFonts w:hint="eastAsia" w:ascii="宋体" w:hAnsi="宋体" w:eastAsia="宋体" w:cs="宋体"/>
              <w:spacing w:val="0"/>
              <w:sz w:val="32"/>
              <w:szCs w:val="32"/>
            </w:rPr>
            <w:t>6</w:t>
          </w:r>
          <w:bookmarkEnd w:id="9"/>
          <w:r>
            <w:rPr>
              <w:rFonts w:hint="eastAsia" w:ascii="宋体" w:hAnsi="宋体" w:eastAsia="宋体" w:cs="宋体"/>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_Toc24063_WPSOffice_Level2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86a2181b-0c35-4637-b714-7c77d5da49e2}"/>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2.4“补短板，强监管”，为“乡村振兴战略规划”打好基础</w:t>
              </w:r>
            </w:sdtContent>
          </w:sdt>
          <w:r>
            <w:rPr>
              <w:rFonts w:hint="eastAsia" w:ascii="宋体" w:hAnsi="宋体" w:eastAsia="宋体" w:cs="宋体"/>
              <w:spacing w:val="0"/>
              <w:sz w:val="32"/>
              <w:szCs w:val="32"/>
            </w:rPr>
            <w:tab/>
          </w:r>
          <w:bookmarkStart w:id="10" w:name="_Toc24063_WPSOffice_Level2Page"/>
          <w:r>
            <w:rPr>
              <w:rFonts w:hint="eastAsia" w:ascii="宋体" w:hAnsi="宋体" w:eastAsia="宋体" w:cs="宋体"/>
              <w:spacing w:val="0"/>
              <w:sz w:val="32"/>
              <w:szCs w:val="32"/>
            </w:rPr>
            <w:t>7</w:t>
          </w:r>
          <w:bookmarkEnd w:id="10"/>
          <w:r>
            <w:rPr>
              <w:rFonts w:hint="eastAsia" w:ascii="宋体" w:hAnsi="宋体" w:eastAsia="宋体" w:cs="宋体"/>
              <w:spacing w:val="0"/>
              <w:sz w:val="32"/>
              <w:szCs w:val="32"/>
            </w:rPr>
            <w:fldChar w:fldCharType="end"/>
          </w:r>
        </w:p>
        <w:p>
          <w:pPr>
            <w:pStyle w:val="11"/>
            <w:tabs>
              <w:tab w:val="right" w:leader="dot" w:pos="14457"/>
            </w:tabs>
            <w:rPr>
              <w:rFonts w:hint="eastAsia" w:ascii="宋体" w:hAnsi="宋体" w:eastAsia="宋体" w:cs="宋体"/>
              <w:spacing w:val="0"/>
              <w:sz w:val="32"/>
              <w:szCs w:val="32"/>
            </w:rPr>
          </w:pPr>
          <w:r>
            <w:rPr>
              <w:rFonts w:hint="eastAsia" w:ascii="宋体" w:hAnsi="宋体" w:eastAsia="宋体" w:cs="宋体"/>
              <w:b/>
              <w:bCs/>
              <w:spacing w:val="0"/>
              <w:sz w:val="32"/>
              <w:szCs w:val="32"/>
            </w:rPr>
            <w:fldChar w:fldCharType="begin"/>
          </w:r>
          <w:r>
            <w:rPr>
              <w:rFonts w:hint="eastAsia" w:ascii="宋体" w:hAnsi="宋体" w:eastAsia="宋体" w:cs="宋体"/>
              <w:spacing w:val="0"/>
              <w:sz w:val="32"/>
              <w:szCs w:val="32"/>
            </w:rPr>
            <w:instrText xml:space="preserve"> HYPERLINK \l _Toc20030_WPSOffice_Level1 </w:instrText>
          </w:r>
          <w:r>
            <w:rPr>
              <w:rFonts w:hint="eastAsia" w:ascii="宋体" w:hAnsi="宋体" w:eastAsia="宋体" w:cs="宋体"/>
              <w:b/>
              <w:bCs/>
              <w:spacing w:val="0"/>
              <w:sz w:val="32"/>
              <w:szCs w:val="32"/>
            </w:rPr>
            <w:fldChar w:fldCharType="separate"/>
          </w:r>
          <w:sdt>
            <w:sdtPr>
              <w:rPr>
                <w:rFonts w:hint="eastAsia" w:ascii="宋体" w:hAnsi="宋体" w:eastAsia="宋体" w:cs="宋体"/>
                <w:b/>
                <w:bCs/>
                <w:snapToGrid w:val="0"/>
                <w:color w:val="000000"/>
                <w:spacing w:val="0"/>
                <w:kern w:val="0"/>
                <w:sz w:val="36"/>
                <w:szCs w:val="36"/>
                <w:lang w:val="en-US" w:eastAsia="en-US" w:bidi="ar-SA"/>
              </w:rPr>
              <w:id w:val="147475727"/>
              <w:placeholder>
                <w:docPart w:val="{6bc6978c-5a15-4479-ac27-9baa1203ccf6}"/>
              </w:placeholder>
            </w:sdtPr>
            <w:sdtEndPr>
              <w:rPr>
                <w:rFonts w:hint="eastAsia" w:ascii="宋体" w:hAnsi="宋体" w:eastAsia="宋体" w:cs="宋体"/>
                <w:b/>
                <w:bCs/>
                <w:snapToGrid w:val="0"/>
                <w:color w:val="000000"/>
                <w:spacing w:val="0"/>
                <w:kern w:val="0"/>
                <w:sz w:val="36"/>
                <w:szCs w:val="36"/>
                <w:lang w:val="en-US" w:eastAsia="en-US" w:bidi="ar-SA"/>
              </w:rPr>
            </w:sdtEndPr>
            <w:sdtContent>
              <w:r>
                <w:rPr>
                  <w:rFonts w:hint="eastAsia" w:ascii="宋体" w:hAnsi="宋体" w:eastAsia="宋体" w:cs="宋体"/>
                  <w:b/>
                  <w:bCs/>
                  <w:spacing w:val="0"/>
                  <w:sz w:val="32"/>
                  <w:szCs w:val="32"/>
                </w:rPr>
                <w:t>3 指导思想与目标任务</w:t>
              </w:r>
            </w:sdtContent>
          </w:sdt>
          <w:r>
            <w:rPr>
              <w:rFonts w:hint="eastAsia" w:ascii="宋体" w:hAnsi="宋体" w:eastAsia="宋体" w:cs="宋体"/>
              <w:b/>
              <w:bCs/>
              <w:spacing w:val="0"/>
              <w:sz w:val="32"/>
              <w:szCs w:val="32"/>
            </w:rPr>
            <w:tab/>
          </w:r>
          <w:bookmarkStart w:id="11" w:name="_Toc20030_WPSOffice_Level1Page"/>
          <w:r>
            <w:rPr>
              <w:rFonts w:hint="eastAsia" w:ascii="宋体" w:hAnsi="宋体" w:eastAsia="宋体" w:cs="宋体"/>
              <w:b/>
              <w:bCs/>
              <w:spacing w:val="0"/>
              <w:sz w:val="32"/>
              <w:szCs w:val="32"/>
            </w:rPr>
            <w:t>7</w:t>
          </w:r>
          <w:bookmarkEnd w:id="11"/>
          <w:r>
            <w:rPr>
              <w:rFonts w:hint="eastAsia" w:ascii="宋体" w:hAnsi="宋体" w:eastAsia="宋体" w:cs="宋体"/>
              <w:b/>
              <w:bCs/>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_Toc31776_WPSOffice_Level2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9a6522dd-bc02-4d94-baa1-35329504873f}"/>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3.1指导规划思想与基本原则</w:t>
              </w:r>
            </w:sdtContent>
          </w:sdt>
          <w:r>
            <w:rPr>
              <w:rFonts w:hint="eastAsia" w:ascii="宋体" w:hAnsi="宋体" w:eastAsia="宋体" w:cs="宋体"/>
              <w:spacing w:val="0"/>
              <w:sz w:val="32"/>
              <w:szCs w:val="32"/>
            </w:rPr>
            <w:tab/>
          </w:r>
          <w:bookmarkStart w:id="12" w:name="_Toc31776_WPSOffice_Level2Page"/>
          <w:r>
            <w:rPr>
              <w:rFonts w:hint="eastAsia" w:ascii="宋体" w:hAnsi="宋体" w:eastAsia="宋体" w:cs="宋体"/>
              <w:spacing w:val="0"/>
              <w:sz w:val="32"/>
              <w:szCs w:val="32"/>
            </w:rPr>
            <w:t>7</w:t>
          </w:r>
          <w:bookmarkEnd w:id="12"/>
          <w:r>
            <w:rPr>
              <w:rFonts w:hint="eastAsia" w:ascii="宋体" w:hAnsi="宋体" w:eastAsia="宋体" w:cs="宋体"/>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_Toc2479_WPSOffice_Level2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03f268d1-2644-48b0-a950-19bf1e9c0e17}"/>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3.2规划水平年</w:t>
              </w:r>
            </w:sdtContent>
          </w:sdt>
          <w:r>
            <w:rPr>
              <w:rFonts w:hint="eastAsia" w:ascii="宋体" w:hAnsi="宋体" w:eastAsia="宋体" w:cs="宋体"/>
              <w:spacing w:val="0"/>
              <w:sz w:val="32"/>
              <w:szCs w:val="32"/>
            </w:rPr>
            <w:tab/>
          </w:r>
          <w:bookmarkStart w:id="13" w:name="_Toc2479_WPSOffice_Level2Page"/>
          <w:r>
            <w:rPr>
              <w:rFonts w:hint="eastAsia" w:ascii="宋体" w:hAnsi="宋体" w:eastAsia="宋体" w:cs="宋体"/>
              <w:spacing w:val="0"/>
              <w:sz w:val="32"/>
              <w:szCs w:val="32"/>
            </w:rPr>
            <w:t>8</w:t>
          </w:r>
          <w:bookmarkEnd w:id="13"/>
          <w:r>
            <w:rPr>
              <w:rFonts w:hint="eastAsia" w:ascii="宋体" w:hAnsi="宋体" w:eastAsia="宋体" w:cs="宋体"/>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_Toc3548_WPSOffice_Level2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8adce59b-e89f-4be9-bbf5-c0b99648b154}"/>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3.4规划目标</w:t>
              </w:r>
            </w:sdtContent>
          </w:sdt>
          <w:r>
            <w:rPr>
              <w:rFonts w:hint="eastAsia" w:ascii="宋体" w:hAnsi="宋体" w:eastAsia="宋体" w:cs="宋体"/>
              <w:spacing w:val="0"/>
              <w:sz w:val="32"/>
              <w:szCs w:val="32"/>
            </w:rPr>
            <w:tab/>
          </w:r>
          <w:bookmarkStart w:id="14" w:name="_Toc3548_WPSOffice_Level2Page"/>
          <w:r>
            <w:rPr>
              <w:rFonts w:hint="eastAsia" w:ascii="宋体" w:hAnsi="宋体" w:eastAsia="宋体" w:cs="宋体"/>
              <w:spacing w:val="0"/>
              <w:sz w:val="32"/>
              <w:szCs w:val="32"/>
            </w:rPr>
            <w:t>8</w:t>
          </w:r>
          <w:bookmarkEnd w:id="14"/>
          <w:r>
            <w:rPr>
              <w:rFonts w:hint="eastAsia" w:ascii="宋体" w:hAnsi="宋体" w:eastAsia="宋体" w:cs="宋体"/>
              <w:spacing w:val="0"/>
              <w:sz w:val="32"/>
              <w:szCs w:val="32"/>
            </w:rPr>
            <w:fldChar w:fldCharType="end"/>
          </w:r>
        </w:p>
        <w:p>
          <w:pPr>
            <w:pStyle w:val="11"/>
            <w:tabs>
              <w:tab w:val="right" w:leader="dot" w:pos="14457"/>
            </w:tabs>
            <w:rPr>
              <w:rFonts w:hint="eastAsia" w:ascii="宋体" w:hAnsi="宋体" w:eastAsia="宋体" w:cs="宋体"/>
              <w:spacing w:val="0"/>
              <w:sz w:val="32"/>
              <w:szCs w:val="32"/>
            </w:rPr>
          </w:pPr>
          <w:r>
            <w:rPr>
              <w:rFonts w:hint="eastAsia" w:ascii="宋体" w:hAnsi="宋体" w:eastAsia="宋体" w:cs="宋体"/>
              <w:b/>
              <w:bCs/>
              <w:spacing w:val="0"/>
              <w:sz w:val="32"/>
              <w:szCs w:val="32"/>
            </w:rPr>
            <w:fldChar w:fldCharType="begin"/>
          </w:r>
          <w:r>
            <w:rPr>
              <w:rFonts w:hint="eastAsia" w:ascii="宋体" w:hAnsi="宋体" w:eastAsia="宋体" w:cs="宋体"/>
              <w:spacing w:val="0"/>
              <w:sz w:val="32"/>
              <w:szCs w:val="32"/>
            </w:rPr>
            <w:instrText xml:space="preserve"> HYPERLINK \l _Toc20782_WPSOffice_Level1 </w:instrText>
          </w:r>
          <w:r>
            <w:rPr>
              <w:rFonts w:hint="eastAsia" w:ascii="宋体" w:hAnsi="宋体" w:eastAsia="宋体" w:cs="宋体"/>
              <w:b/>
              <w:bCs/>
              <w:spacing w:val="0"/>
              <w:sz w:val="32"/>
              <w:szCs w:val="32"/>
            </w:rPr>
            <w:fldChar w:fldCharType="separate"/>
          </w:r>
          <w:sdt>
            <w:sdtPr>
              <w:rPr>
                <w:rFonts w:hint="eastAsia" w:ascii="宋体" w:hAnsi="宋体" w:eastAsia="宋体" w:cs="宋体"/>
                <w:b/>
                <w:bCs/>
                <w:snapToGrid w:val="0"/>
                <w:color w:val="000000"/>
                <w:spacing w:val="0"/>
                <w:kern w:val="0"/>
                <w:sz w:val="36"/>
                <w:szCs w:val="36"/>
                <w:lang w:val="en-US" w:eastAsia="en-US" w:bidi="ar-SA"/>
              </w:rPr>
              <w:id w:val="147475727"/>
              <w:placeholder>
                <w:docPart w:val="{85d95291-bc85-4d4b-9ad4-569f5c42871d}"/>
              </w:placeholder>
            </w:sdtPr>
            <w:sdtEndPr>
              <w:rPr>
                <w:rFonts w:hint="eastAsia" w:ascii="宋体" w:hAnsi="宋体" w:eastAsia="宋体" w:cs="宋体"/>
                <w:b/>
                <w:bCs/>
                <w:snapToGrid w:val="0"/>
                <w:color w:val="000000"/>
                <w:spacing w:val="0"/>
                <w:kern w:val="0"/>
                <w:sz w:val="36"/>
                <w:szCs w:val="36"/>
                <w:lang w:val="en-US" w:eastAsia="en-US" w:bidi="ar-SA"/>
              </w:rPr>
            </w:sdtEndPr>
            <w:sdtContent>
              <w:r>
                <w:rPr>
                  <w:rFonts w:hint="eastAsia" w:ascii="宋体" w:hAnsi="宋体" w:eastAsia="宋体" w:cs="宋体"/>
                  <w:b/>
                  <w:bCs/>
                  <w:spacing w:val="0"/>
                  <w:sz w:val="32"/>
                  <w:szCs w:val="32"/>
                </w:rPr>
                <w:t>4 总体布局</w:t>
              </w:r>
            </w:sdtContent>
          </w:sdt>
          <w:r>
            <w:rPr>
              <w:rFonts w:hint="eastAsia" w:ascii="宋体" w:hAnsi="宋体" w:eastAsia="宋体" w:cs="宋体"/>
              <w:b/>
              <w:bCs/>
              <w:spacing w:val="0"/>
              <w:sz w:val="32"/>
              <w:szCs w:val="32"/>
            </w:rPr>
            <w:tab/>
          </w:r>
          <w:bookmarkStart w:id="15" w:name="_Toc20782_WPSOffice_Level1Page"/>
          <w:r>
            <w:rPr>
              <w:rFonts w:hint="eastAsia" w:ascii="宋体" w:hAnsi="宋体" w:eastAsia="宋体" w:cs="宋体"/>
              <w:b/>
              <w:bCs/>
              <w:spacing w:val="0"/>
              <w:sz w:val="32"/>
              <w:szCs w:val="32"/>
            </w:rPr>
            <w:t>8</w:t>
          </w:r>
          <w:bookmarkEnd w:id="15"/>
          <w:r>
            <w:rPr>
              <w:rFonts w:hint="eastAsia" w:ascii="宋体" w:hAnsi="宋体" w:eastAsia="宋体" w:cs="宋体"/>
              <w:b/>
              <w:bCs/>
              <w:spacing w:val="0"/>
              <w:sz w:val="32"/>
              <w:szCs w:val="32"/>
            </w:rPr>
            <w:fldChar w:fldCharType="end"/>
          </w:r>
        </w:p>
        <w:p>
          <w:pPr>
            <w:pStyle w:val="11"/>
            <w:tabs>
              <w:tab w:val="right" w:leader="dot" w:pos="14457"/>
            </w:tabs>
            <w:rPr>
              <w:rFonts w:hint="eastAsia" w:ascii="宋体" w:hAnsi="宋体" w:eastAsia="宋体" w:cs="宋体"/>
              <w:spacing w:val="0"/>
              <w:sz w:val="32"/>
              <w:szCs w:val="32"/>
            </w:rPr>
          </w:pPr>
          <w:r>
            <w:rPr>
              <w:rFonts w:hint="eastAsia" w:ascii="宋体" w:hAnsi="宋体" w:eastAsia="宋体" w:cs="宋体"/>
              <w:b/>
              <w:bCs/>
              <w:spacing w:val="0"/>
              <w:sz w:val="32"/>
              <w:szCs w:val="32"/>
            </w:rPr>
            <w:fldChar w:fldCharType="begin"/>
          </w:r>
          <w:r>
            <w:rPr>
              <w:rFonts w:hint="eastAsia" w:ascii="宋体" w:hAnsi="宋体" w:eastAsia="宋体" w:cs="宋体"/>
              <w:spacing w:val="0"/>
              <w:sz w:val="32"/>
              <w:szCs w:val="32"/>
            </w:rPr>
            <w:instrText xml:space="preserve"> HYPERLINK \l _Toc27369_WPSOffice_Level1 </w:instrText>
          </w:r>
          <w:r>
            <w:rPr>
              <w:rFonts w:hint="eastAsia" w:ascii="宋体" w:hAnsi="宋体" w:eastAsia="宋体" w:cs="宋体"/>
              <w:b/>
              <w:bCs/>
              <w:spacing w:val="0"/>
              <w:sz w:val="32"/>
              <w:szCs w:val="32"/>
            </w:rPr>
            <w:fldChar w:fldCharType="separate"/>
          </w:r>
          <w:sdt>
            <w:sdtPr>
              <w:rPr>
                <w:rFonts w:hint="eastAsia" w:ascii="宋体" w:hAnsi="宋体" w:eastAsia="宋体" w:cs="宋体"/>
                <w:b/>
                <w:bCs/>
                <w:snapToGrid w:val="0"/>
                <w:color w:val="000000"/>
                <w:spacing w:val="0"/>
                <w:kern w:val="0"/>
                <w:sz w:val="36"/>
                <w:szCs w:val="36"/>
                <w:lang w:val="en-US" w:eastAsia="en-US" w:bidi="ar-SA"/>
              </w:rPr>
              <w:id w:val="147475727"/>
              <w:placeholder>
                <w:docPart w:val="{12adc1ab-08d4-45c0-bab6-dcfe00ac22ae}"/>
              </w:placeholder>
            </w:sdtPr>
            <w:sdtEndPr>
              <w:rPr>
                <w:rFonts w:hint="eastAsia" w:ascii="宋体" w:hAnsi="宋体" w:eastAsia="宋体" w:cs="宋体"/>
                <w:b/>
                <w:bCs/>
                <w:snapToGrid w:val="0"/>
                <w:color w:val="000000"/>
                <w:spacing w:val="0"/>
                <w:kern w:val="0"/>
                <w:sz w:val="36"/>
                <w:szCs w:val="36"/>
                <w:lang w:val="en-US" w:eastAsia="en-US" w:bidi="ar-SA"/>
              </w:rPr>
            </w:sdtEndPr>
            <w:sdtContent>
              <w:r>
                <w:rPr>
                  <w:rFonts w:hint="eastAsia" w:ascii="宋体" w:hAnsi="宋体" w:eastAsia="宋体" w:cs="宋体"/>
                  <w:b/>
                  <w:bCs/>
                  <w:spacing w:val="0"/>
                  <w:sz w:val="32"/>
                  <w:szCs w:val="32"/>
                </w:rPr>
                <w:t>5 工程建设内容</w:t>
              </w:r>
            </w:sdtContent>
          </w:sdt>
          <w:r>
            <w:rPr>
              <w:rFonts w:hint="eastAsia" w:ascii="宋体" w:hAnsi="宋体" w:eastAsia="宋体" w:cs="宋体"/>
              <w:b/>
              <w:bCs/>
              <w:spacing w:val="0"/>
              <w:sz w:val="32"/>
              <w:szCs w:val="32"/>
            </w:rPr>
            <w:tab/>
          </w:r>
          <w:bookmarkStart w:id="16" w:name="_Toc27369_WPSOffice_Level1Page"/>
          <w:r>
            <w:rPr>
              <w:rFonts w:hint="eastAsia" w:ascii="宋体" w:hAnsi="宋体" w:eastAsia="宋体" w:cs="宋体"/>
              <w:b/>
              <w:bCs/>
              <w:spacing w:val="0"/>
              <w:sz w:val="32"/>
              <w:szCs w:val="32"/>
            </w:rPr>
            <w:t>8</w:t>
          </w:r>
          <w:bookmarkEnd w:id="16"/>
          <w:r>
            <w:rPr>
              <w:rFonts w:hint="eastAsia" w:ascii="宋体" w:hAnsi="宋体" w:eastAsia="宋体" w:cs="宋体"/>
              <w:b/>
              <w:bCs/>
              <w:spacing w:val="0"/>
              <w:sz w:val="32"/>
              <w:szCs w:val="32"/>
            </w:rPr>
            <w:fldChar w:fldCharType="end"/>
          </w:r>
        </w:p>
        <w:p>
          <w:pPr>
            <w:pStyle w:val="11"/>
            <w:tabs>
              <w:tab w:val="right" w:leader="dot" w:pos="14457"/>
            </w:tabs>
            <w:rPr>
              <w:rFonts w:hint="eastAsia" w:ascii="宋体" w:hAnsi="宋体" w:eastAsia="宋体" w:cs="宋体"/>
              <w:spacing w:val="0"/>
              <w:sz w:val="32"/>
              <w:szCs w:val="32"/>
            </w:rPr>
          </w:pPr>
          <w:r>
            <w:rPr>
              <w:rFonts w:hint="eastAsia" w:ascii="宋体" w:hAnsi="宋体" w:eastAsia="宋体" w:cs="宋体"/>
              <w:b/>
              <w:bCs/>
              <w:spacing w:val="0"/>
              <w:sz w:val="32"/>
              <w:szCs w:val="32"/>
            </w:rPr>
            <w:fldChar w:fldCharType="begin"/>
          </w:r>
          <w:r>
            <w:rPr>
              <w:rFonts w:hint="eastAsia" w:ascii="宋体" w:hAnsi="宋体" w:eastAsia="宋体" w:cs="宋体"/>
              <w:spacing w:val="0"/>
              <w:sz w:val="32"/>
              <w:szCs w:val="32"/>
            </w:rPr>
            <w:instrText xml:space="preserve"> HYPERLINK \l _Toc21443_WPSOffice_Level1 </w:instrText>
          </w:r>
          <w:r>
            <w:rPr>
              <w:rFonts w:hint="eastAsia" w:ascii="宋体" w:hAnsi="宋体" w:eastAsia="宋体" w:cs="宋体"/>
              <w:b/>
              <w:bCs/>
              <w:spacing w:val="0"/>
              <w:sz w:val="32"/>
              <w:szCs w:val="32"/>
            </w:rPr>
            <w:fldChar w:fldCharType="separate"/>
          </w:r>
          <w:sdt>
            <w:sdtPr>
              <w:rPr>
                <w:rFonts w:hint="eastAsia" w:ascii="宋体" w:hAnsi="宋体" w:eastAsia="宋体" w:cs="宋体"/>
                <w:b/>
                <w:bCs/>
                <w:snapToGrid w:val="0"/>
                <w:color w:val="000000"/>
                <w:spacing w:val="0"/>
                <w:kern w:val="0"/>
                <w:sz w:val="36"/>
                <w:szCs w:val="36"/>
                <w:lang w:val="en-US" w:eastAsia="en-US" w:bidi="ar-SA"/>
              </w:rPr>
              <w:id w:val="147475727"/>
              <w:placeholder>
                <w:docPart w:val="{6f9c375b-4fee-4a68-8d19-0e4f3517b60a}"/>
              </w:placeholder>
            </w:sdtPr>
            <w:sdtEndPr>
              <w:rPr>
                <w:rFonts w:hint="eastAsia" w:ascii="宋体" w:hAnsi="宋体" w:eastAsia="宋体" w:cs="宋体"/>
                <w:b/>
                <w:bCs/>
                <w:snapToGrid w:val="0"/>
                <w:color w:val="000000"/>
                <w:spacing w:val="0"/>
                <w:kern w:val="0"/>
                <w:sz w:val="36"/>
                <w:szCs w:val="36"/>
                <w:lang w:val="en-US" w:eastAsia="en-US" w:bidi="ar-SA"/>
              </w:rPr>
            </w:sdtEndPr>
            <w:sdtContent>
              <w:r>
                <w:rPr>
                  <w:rFonts w:hint="eastAsia" w:ascii="宋体" w:hAnsi="宋体" w:eastAsia="宋体" w:cs="宋体"/>
                  <w:b/>
                  <w:bCs/>
                  <w:spacing w:val="0"/>
                  <w:sz w:val="32"/>
                  <w:szCs w:val="32"/>
                </w:rPr>
                <w:t>麻栗坡县“十四五”农村供水保障规划工程项目表</w:t>
              </w:r>
            </w:sdtContent>
          </w:sdt>
          <w:r>
            <w:rPr>
              <w:rFonts w:hint="eastAsia" w:ascii="宋体" w:hAnsi="宋体" w:eastAsia="宋体" w:cs="宋体"/>
              <w:b/>
              <w:bCs/>
              <w:spacing w:val="0"/>
              <w:sz w:val="32"/>
              <w:szCs w:val="32"/>
            </w:rPr>
            <w:tab/>
          </w:r>
          <w:bookmarkStart w:id="17" w:name="_Toc21443_WPSOffice_Level1Page"/>
          <w:r>
            <w:rPr>
              <w:rFonts w:hint="eastAsia" w:ascii="宋体" w:hAnsi="宋体" w:eastAsia="宋体" w:cs="宋体"/>
              <w:b/>
              <w:bCs/>
              <w:spacing w:val="0"/>
              <w:sz w:val="32"/>
              <w:szCs w:val="32"/>
            </w:rPr>
            <w:t>9</w:t>
          </w:r>
          <w:bookmarkEnd w:id="17"/>
          <w:r>
            <w:rPr>
              <w:rFonts w:hint="eastAsia" w:ascii="宋体" w:hAnsi="宋体" w:eastAsia="宋体" w:cs="宋体"/>
              <w:b/>
              <w:bCs/>
              <w:spacing w:val="0"/>
              <w:sz w:val="32"/>
              <w:szCs w:val="32"/>
            </w:rPr>
            <w:fldChar w:fldCharType="end"/>
          </w:r>
        </w:p>
        <w:p>
          <w:pPr>
            <w:pStyle w:val="11"/>
            <w:tabs>
              <w:tab w:val="right" w:leader="dot" w:pos="14457"/>
            </w:tabs>
            <w:rPr>
              <w:rFonts w:hint="eastAsia" w:ascii="宋体" w:hAnsi="宋体" w:eastAsia="宋体" w:cs="宋体"/>
              <w:spacing w:val="0"/>
              <w:sz w:val="32"/>
              <w:szCs w:val="32"/>
            </w:rPr>
          </w:pPr>
          <w:r>
            <w:rPr>
              <w:rFonts w:hint="eastAsia" w:ascii="宋体" w:hAnsi="宋体" w:eastAsia="宋体" w:cs="宋体"/>
              <w:b/>
              <w:bCs/>
              <w:spacing w:val="0"/>
              <w:sz w:val="32"/>
              <w:szCs w:val="32"/>
            </w:rPr>
            <w:fldChar w:fldCharType="begin"/>
          </w:r>
          <w:r>
            <w:rPr>
              <w:rFonts w:hint="eastAsia" w:ascii="宋体" w:hAnsi="宋体" w:eastAsia="宋体" w:cs="宋体"/>
              <w:spacing w:val="0"/>
              <w:sz w:val="32"/>
              <w:szCs w:val="32"/>
            </w:rPr>
            <w:instrText xml:space="preserve"> HYPERLINK \l _Toc24063_WPSOffice_Level1 </w:instrText>
          </w:r>
          <w:r>
            <w:rPr>
              <w:rFonts w:hint="eastAsia" w:ascii="宋体" w:hAnsi="宋体" w:eastAsia="宋体" w:cs="宋体"/>
              <w:b/>
              <w:bCs/>
              <w:spacing w:val="0"/>
              <w:sz w:val="32"/>
              <w:szCs w:val="32"/>
            </w:rPr>
            <w:fldChar w:fldCharType="separate"/>
          </w:r>
          <w:sdt>
            <w:sdtPr>
              <w:rPr>
                <w:rFonts w:hint="eastAsia" w:ascii="宋体" w:hAnsi="宋体" w:eastAsia="宋体" w:cs="宋体"/>
                <w:b/>
                <w:bCs/>
                <w:snapToGrid w:val="0"/>
                <w:color w:val="000000"/>
                <w:spacing w:val="0"/>
                <w:kern w:val="0"/>
                <w:sz w:val="36"/>
                <w:szCs w:val="36"/>
                <w:lang w:val="en-US" w:eastAsia="en-US" w:bidi="ar-SA"/>
              </w:rPr>
              <w:id w:val="147475727"/>
              <w:placeholder>
                <w:docPart w:val="{9fb45906-4e31-471e-8d75-e2e7921a8f5e}"/>
              </w:placeholder>
            </w:sdtPr>
            <w:sdtEndPr>
              <w:rPr>
                <w:rFonts w:hint="eastAsia" w:ascii="宋体" w:hAnsi="宋体" w:eastAsia="宋体" w:cs="宋体"/>
                <w:b/>
                <w:bCs/>
                <w:snapToGrid w:val="0"/>
                <w:color w:val="000000"/>
                <w:spacing w:val="0"/>
                <w:kern w:val="0"/>
                <w:sz w:val="36"/>
                <w:szCs w:val="36"/>
                <w:lang w:val="en-US" w:eastAsia="en-US" w:bidi="ar-SA"/>
              </w:rPr>
            </w:sdtEndPr>
            <w:sdtContent>
              <w:r>
                <w:rPr>
                  <w:rFonts w:hint="eastAsia" w:ascii="宋体" w:hAnsi="宋体" w:eastAsia="宋体" w:cs="宋体"/>
                  <w:b/>
                  <w:bCs/>
                  <w:spacing w:val="0"/>
                  <w:sz w:val="32"/>
                  <w:szCs w:val="32"/>
                </w:rPr>
                <w:t>6 工程管护</w:t>
              </w:r>
            </w:sdtContent>
          </w:sdt>
          <w:r>
            <w:rPr>
              <w:rFonts w:hint="eastAsia" w:ascii="宋体" w:hAnsi="宋体" w:eastAsia="宋体" w:cs="宋体"/>
              <w:b/>
              <w:bCs/>
              <w:spacing w:val="0"/>
              <w:sz w:val="32"/>
              <w:szCs w:val="32"/>
            </w:rPr>
            <w:tab/>
          </w:r>
          <w:bookmarkStart w:id="18" w:name="_Toc24063_WPSOffice_Level1Page"/>
          <w:r>
            <w:rPr>
              <w:rFonts w:hint="eastAsia" w:ascii="宋体" w:hAnsi="宋体" w:eastAsia="宋体" w:cs="宋体"/>
              <w:b/>
              <w:bCs/>
              <w:spacing w:val="0"/>
              <w:sz w:val="32"/>
              <w:szCs w:val="32"/>
            </w:rPr>
            <w:t>11</w:t>
          </w:r>
          <w:bookmarkEnd w:id="18"/>
          <w:r>
            <w:rPr>
              <w:rFonts w:hint="eastAsia" w:ascii="宋体" w:hAnsi="宋体" w:eastAsia="宋体" w:cs="宋体"/>
              <w:b/>
              <w:bCs/>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_Toc3251_WPSOffice_Level2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8b20f46c-8a31-4373-9cd0-58890b5867db}"/>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6.1水价机制建设</w:t>
              </w:r>
            </w:sdtContent>
          </w:sdt>
          <w:r>
            <w:rPr>
              <w:rFonts w:hint="eastAsia" w:ascii="宋体" w:hAnsi="宋体" w:eastAsia="宋体" w:cs="宋体"/>
              <w:spacing w:val="0"/>
              <w:sz w:val="32"/>
              <w:szCs w:val="32"/>
            </w:rPr>
            <w:tab/>
          </w:r>
          <w:bookmarkStart w:id="19" w:name="_Toc3251_WPSOffice_Level2Page"/>
          <w:r>
            <w:rPr>
              <w:rFonts w:hint="eastAsia" w:ascii="宋体" w:hAnsi="宋体" w:eastAsia="宋体" w:cs="宋体"/>
              <w:spacing w:val="0"/>
              <w:sz w:val="32"/>
              <w:szCs w:val="32"/>
            </w:rPr>
            <w:t>11</w:t>
          </w:r>
          <w:bookmarkEnd w:id="19"/>
          <w:r>
            <w:rPr>
              <w:rFonts w:hint="eastAsia" w:ascii="宋体" w:hAnsi="宋体" w:eastAsia="宋体" w:cs="宋体"/>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_Toc30793_WPSOffice_Level2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9744e5be-6c56-48a6-b5cf-df7e41e2a68f}"/>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6.2运行管护</w:t>
              </w:r>
            </w:sdtContent>
          </w:sdt>
          <w:r>
            <w:rPr>
              <w:rFonts w:hint="eastAsia" w:ascii="宋体" w:hAnsi="宋体" w:eastAsia="宋体" w:cs="宋体"/>
              <w:spacing w:val="0"/>
              <w:sz w:val="32"/>
              <w:szCs w:val="32"/>
            </w:rPr>
            <w:tab/>
          </w:r>
          <w:bookmarkStart w:id="20" w:name="_Toc30793_WPSOffice_Level2Page"/>
          <w:r>
            <w:rPr>
              <w:rFonts w:hint="eastAsia" w:ascii="宋体" w:hAnsi="宋体" w:eastAsia="宋体" w:cs="宋体"/>
              <w:spacing w:val="0"/>
              <w:sz w:val="32"/>
              <w:szCs w:val="32"/>
            </w:rPr>
            <w:t>11</w:t>
          </w:r>
          <w:bookmarkEnd w:id="20"/>
          <w:r>
            <w:rPr>
              <w:rFonts w:hint="eastAsia" w:ascii="宋体" w:hAnsi="宋体" w:eastAsia="宋体" w:cs="宋体"/>
              <w:spacing w:val="0"/>
              <w:sz w:val="32"/>
              <w:szCs w:val="32"/>
            </w:rPr>
            <w:fldChar w:fldCharType="end"/>
          </w:r>
        </w:p>
        <w:p>
          <w:pPr>
            <w:pStyle w:val="11"/>
            <w:tabs>
              <w:tab w:val="right" w:leader="dot" w:pos="14457"/>
            </w:tabs>
            <w:rPr>
              <w:rFonts w:hint="eastAsia" w:ascii="宋体" w:hAnsi="宋体" w:eastAsia="宋体" w:cs="宋体"/>
              <w:spacing w:val="0"/>
              <w:sz w:val="32"/>
              <w:szCs w:val="32"/>
            </w:rPr>
          </w:pPr>
          <w:r>
            <w:rPr>
              <w:rFonts w:hint="eastAsia" w:ascii="宋体" w:hAnsi="宋体" w:eastAsia="宋体" w:cs="宋体"/>
              <w:b/>
              <w:bCs/>
              <w:spacing w:val="0"/>
              <w:sz w:val="32"/>
              <w:szCs w:val="32"/>
            </w:rPr>
            <w:fldChar w:fldCharType="begin"/>
          </w:r>
          <w:r>
            <w:rPr>
              <w:rFonts w:hint="eastAsia" w:ascii="宋体" w:hAnsi="宋体" w:eastAsia="宋体" w:cs="宋体"/>
              <w:spacing w:val="0"/>
              <w:sz w:val="32"/>
              <w:szCs w:val="32"/>
            </w:rPr>
            <w:instrText xml:space="preserve"> HYPERLINK \l _Toc31776_WPSOffice_Level1 </w:instrText>
          </w:r>
          <w:r>
            <w:rPr>
              <w:rFonts w:hint="eastAsia" w:ascii="宋体" w:hAnsi="宋体" w:eastAsia="宋体" w:cs="宋体"/>
              <w:b/>
              <w:bCs/>
              <w:spacing w:val="0"/>
              <w:sz w:val="32"/>
              <w:szCs w:val="32"/>
            </w:rPr>
            <w:fldChar w:fldCharType="separate"/>
          </w:r>
          <w:sdt>
            <w:sdtPr>
              <w:rPr>
                <w:rFonts w:hint="eastAsia" w:ascii="宋体" w:hAnsi="宋体" w:eastAsia="宋体" w:cs="宋体"/>
                <w:b/>
                <w:bCs/>
                <w:snapToGrid w:val="0"/>
                <w:color w:val="000000"/>
                <w:spacing w:val="0"/>
                <w:kern w:val="0"/>
                <w:sz w:val="36"/>
                <w:szCs w:val="36"/>
                <w:lang w:val="en-US" w:eastAsia="en-US" w:bidi="ar-SA"/>
              </w:rPr>
              <w:id w:val="147475727"/>
              <w:placeholder>
                <w:docPart w:val="{f2833c2a-3bbf-4016-ad40-0d57394cf8e5}"/>
              </w:placeholder>
            </w:sdtPr>
            <w:sdtEndPr>
              <w:rPr>
                <w:rFonts w:hint="eastAsia" w:ascii="宋体" w:hAnsi="宋体" w:eastAsia="宋体" w:cs="宋体"/>
                <w:b/>
                <w:bCs/>
                <w:snapToGrid w:val="0"/>
                <w:color w:val="000000"/>
                <w:spacing w:val="0"/>
                <w:kern w:val="0"/>
                <w:sz w:val="36"/>
                <w:szCs w:val="36"/>
                <w:lang w:val="en-US" w:eastAsia="en-US" w:bidi="ar-SA"/>
              </w:rPr>
            </w:sdtEndPr>
            <w:sdtContent>
              <w:r>
                <w:rPr>
                  <w:rFonts w:hint="eastAsia" w:ascii="宋体" w:hAnsi="宋体" w:eastAsia="宋体" w:cs="宋体"/>
                  <w:b/>
                  <w:bCs/>
                  <w:spacing w:val="0"/>
                  <w:sz w:val="32"/>
                  <w:szCs w:val="32"/>
                </w:rPr>
                <w:t>7 投资规模</w:t>
              </w:r>
            </w:sdtContent>
          </w:sdt>
          <w:r>
            <w:rPr>
              <w:rFonts w:hint="eastAsia" w:ascii="宋体" w:hAnsi="宋体" w:eastAsia="宋体" w:cs="宋体"/>
              <w:b/>
              <w:bCs/>
              <w:spacing w:val="0"/>
              <w:sz w:val="32"/>
              <w:szCs w:val="32"/>
            </w:rPr>
            <w:tab/>
          </w:r>
          <w:bookmarkStart w:id="21" w:name="_Toc31776_WPSOffice_Level1Page"/>
          <w:r>
            <w:rPr>
              <w:rFonts w:hint="eastAsia" w:ascii="宋体" w:hAnsi="宋体" w:eastAsia="宋体" w:cs="宋体"/>
              <w:b/>
              <w:bCs/>
              <w:spacing w:val="0"/>
              <w:sz w:val="32"/>
              <w:szCs w:val="32"/>
            </w:rPr>
            <w:t>12</w:t>
          </w:r>
          <w:bookmarkEnd w:id="21"/>
          <w:r>
            <w:rPr>
              <w:rFonts w:hint="eastAsia" w:ascii="宋体" w:hAnsi="宋体" w:eastAsia="宋体" w:cs="宋体"/>
              <w:b/>
              <w:bCs/>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_Toc7851_WPSOffice_Level2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f30d64d4-890b-4a4a-88c7-8292df5180e6}"/>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7.1规划投资</w:t>
              </w:r>
            </w:sdtContent>
          </w:sdt>
          <w:r>
            <w:rPr>
              <w:rFonts w:hint="eastAsia" w:ascii="宋体" w:hAnsi="宋体" w:eastAsia="宋体" w:cs="宋体"/>
              <w:spacing w:val="0"/>
              <w:sz w:val="32"/>
              <w:szCs w:val="32"/>
            </w:rPr>
            <w:tab/>
          </w:r>
          <w:bookmarkStart w:id="22" w:name="_Toc7851_WPSOffice_Level2Page"/>
          <w:r>
            <w:rPr>
              <w:rFonts w:hint="eastAsia" w:ascii="宋体" w:hAnsi="宋体" w:eastAsia="宋体" w:cs="宋体"/>
              <w:spacing w:val="0"/>
              <w:sz w:val="32"/>
              <w:szCs w:val="32"/>
            </w:rPr>
            <w:t>12</w:t>
          </w:r>
          <w:bookmarkEnd w:id="22"/>
          <w:r>
            <w:rPr>
              <w:rFonts w:hint="eastAsia" w:ascii="宋体" w:hAnsi="宋体" w:eastAsia="宋体" w:cs="宋体"/>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_Toc19403_WPSOffice_Level2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51ab4f59-1af6-4905-9775-c5e4f127f8d9}"/>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7.2资金筹措</w:t>
              </w:r>
            </w:sdtContent>
          </w:sdt>
          <w:r>
            <w:rPr>
              <w:rFonts w:hint="eastAsia" w:ascii="宋体" w:hAnsi="宋体" w:eastAsia="宋体" w:cs="宋体"/>
              <w:spacing w:val="0"/>
              <w:sz w:val="32"/>
              <w:szCs w:val="32"/>
            </w:rPr>
            <w:tab/>
          </w:r>
          <w:bookmarkStart w:id="23" w:name="_Toc19403_WPSOffice_Level2Page"/>
          <w:r>
            <w:rPr>
              <w:rFonts w:hint="eastAsia" w:ascii="宋体" w:hAnsi="宋体" w:eastAsia="宋体" w:cs="宋体"/>
              <w:spacing w:val="0"/>
              <w:sz w:val="32"/>
              <w:szCs w:val="32"/>
            </w:rPr>
            <w:t>13</w:t>
          </w:r>
          <w:bookmarkEnd w:id="23"/>
          <w:r>
            <w:rPr>
              <w:rFonts w:hint="eastAsia" w:ascii="宋体" w:hAnsi="宋体" w:eastAsia="宋体" w:cs="宋体"/>
              <w:spacing w:val="0"/>
              <w:sz w:val="32"/>
              <w:szCs w:val="32"/>
            </w:rPr>
            <w:fldChar w:fldCharType="end"/>
          </w:r>
        </w:p>
        <w:p>
          <w:pPr>
            <w:pStyle w:val="11"/>
            <w:tabs>
              <w:tab w:val="right" w:leader="dot" w:pos="14457"/>
            </w:tabs>
            <w:rPr>
              <w:rFonts w:hint="eastAsia" w:ascii="宋体" w:hAnsi="宋体" w:eastAsia="宋体" w:cs="宋体"/>
              <w:spacing w:val="0"/>
              <w:sz w:val="32"/>
              <w:szCs w:val="32"/>
            </w:rPr>
          </w:pPr>
          <w:r>
            <w:rPr>
              <w:rFonts w:hint="eastAsia" w:ascii="宋体" w:hAnsi="宋体" w:eastAsia="宋体" w:cs="宋体"/>
              <w:b/>
              <w:bCs/>
              <w:spacing w:val="0"/>
              <w:sz w:val="32"/>
              <w:szCs w:val="32"/>
            </w:rPr>
            <w:fldChar w:fldCharType="begin"/>
          </w:r>
          <w:r>
            <w:rPr>
              <w:rFonts w:hint="eastAsia" w:ascii="宋体" w:hAnsi="宋体" w:eastAsia="宋体" w:cs="宋体"/>
              <w:spacing w:val="0"/>
              <w:sz w:val="32"/>
              <w:szCs w:val="32"/>
            </w:rPr>
            <w:instrText xml:space="preserve"> HYPERLINK \l _Toc2479_WPSOffice_Level1 </w:instrText>
          </w:r>
          <w:r>
            <w:rPr>
              <w:rFonts w:hint="eastAsia" w:ascii="宋体" w:hAnsi="宋体" w:eastAsia="宋体" w:cs="宋体"/>
              <w:b/>
              <w:bCs/>
              <w:spacing w:val="0"/>
              <w:sz w:val="32"/>
              <w:szCs w:val="32"/>
            </w:rPr>
            <w:fldChar w:fldCharType="separate"/>
          </w:r>
          <w:sdt>
            <w:sdtPr>
              <w:rPr>
                <w:rFonts w:hint="eastAsia" w:ascii="宋体" w:hAnsi="宋体" w:eastAsia="宋体" w:cs="宋体"/>
                <w:b/>
                <w:bCs/>
                <w:snapToGrid w:val="0"/>
                <w:color w:val="000000"/>
                <w:spacing w:val="0"/>
                <w:kern w:val="0"/>
                <w:sz w:val="36"/>
                <w:szCs w:val="36"/>
                <w:lang w:val="en-US" w:eastAsia="en-US" w:bidi="ar-SA"/>
              </w:rPr>
              <w:id w:val="147475727"/>
              <w:placeholder>
                <w:docPart w:val="{ec5b5751-f61a-47d8-ae56-3a2f89104a7c}"/>
              </w:placeholder>
            </w:sdtPr>
            <w:sdtEndPr>
              <w:rPr>
                <w:rFonts w:hint="eastAsia" w:ascii="宋体" w:hAnsi="宋体" w:eastAsia="宋体" w:cs="宋体"/>
                <w:b/>
                <w:bCs/>
                <w:snapToGrid w:val="0"/>
                <w:color w:val="000000"/>
                <w:spacing w:val="0"/>
                <w:kern w:val="0"/>
                <w:sz w:val="36"/>
                <w:szCs w:val="36"/>
                <w:lang w:val="en-US" w:eastAsia="en-US" w:bidi="ar-SA"/>
              </w:rPr>
            </w:sdtEndPr>
            <w:sdtContent>
              <w:r>
                <w:rPr>
                  <w:rFonts w:hint="eastAsia" w:ascii="宋体" w:hAnsi="宋体" w:eastAsia="宋体" w:cs="宋体"/>
                  <w:b/>
                  <w:bCs/>
                  <w:spacing w:val="0"/>
                  <w:sz w:val="32"/>
                  <w:szCs w:val="32"/>
                </w:rPr>
                <w:t>8 实施</w:t>
              </w:r>
              <w:r>
                <w:rPr>
                  <w:rFonts w:hint="eastAsia" w:ascii="宋体" w:hAnsi="宋体" w:eastAsia="宋体" w:cs="宋体"/>
                  <w:b/>
                  <w:bCs/>
                  <w:spacing w:val="0"/>
                  <w:sz w:val="32"/>
                  <w:szCs w:val="32"/>
                  <w:lang w:val="en-US" w:eastAsia="zh-CN"/>
                </w:rPr>
                <w:t>效益</w:t>
              </w:r>
            </w:sdtContent>
          </w:sdt>
          <w:r>
            <w:rPr>
              <w:rFonts w:hint="eastAsia" w:ascii="宋体" w:hAnsi="宋体" w:eastAsia="宋体" w:cs="宋体"/>
              <w:b/>
              <w:bCs/>
              <w:spacing w:val="0"/>
              <w:sz w:val="32"/>
              <w:szCs w:val="32"/>
            </w:rPr>
            <w:tab/>
          </w:r>
          <w:bookmarkStart w:id="24" w:name="_Toc2479_WPSOffice_Level1Page"/>
          <w:r>
            <w:rPr>
              <w:rFonts w:hint="eastAsia" w:ascii="宋体" w:hAnsi="宋体" w:eastAsia="宋体" w:cs="宋体"/>
              <w:b/>
              <w:bCs/>
              <w:spacing w:val="0"/>
              <w:sz w:val="32"/>
              <w:szCs w:val="32"/>
            </w:rPr>
            <w:t>13</w:t>
          </w:r>
          <w:bookmarkEnd w:id="24"/>
          <w:r>
            <w:rPr>
              <w:rFonts w:hint="eastAsia" w:ascii="宋体" w:hAnsi="宋体" w:eastAsia="宋体" w:cs="宋体"/>
              <w:b/>
              <w:bCs/>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_Toc4230_WPSOffice_Level2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b1f32ab1-a963-4ed7-8346-8e4d854d0002}"/>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8.1生态环境效益</w:t>
              </w:r>
            </w:sdtContent>
          </w:sdt>
          <w:r>
            <w:rPr>
              <w:rFonts w:hint="eastAsia" w:ascii="宋体" w:hAnsi="宋体" w:eastAsia="宋体" w:cs="宋体"/>
              <w:spacing w:val="0"/>
              <w:sz w:val="32"/>
              <w:szCs w:val="32"/>
            </w:rPr>
            <w:tab/>
          </w:r>
          <w:bookmarkStart w:id="25" w:name="_Toc4230_WPSOffice_Level2Page"/>
          <w:r>
            <w:rPr>
              <w:rFonts w:hint="eastAsia" w:ascii="宋体" w:hAnsi="宋体" w:eastAsia="宋体" w:cs="宋体"/>
              <w:spacing w:val="0"/>
              <w:sz w:val="32"/>
              <w:szCs w:val="32"/>
            </w:rPr>
            <w:t>13</w:t>
          </w:r>
          <w:bookmarkEnd w:id="25"/>
          <w:r>
            <w:rPr>
              <w:rFonts w:hint="eastAsia" w:ascii="宋体" w:hAnsi="宋体" w:eastAsia="宋体" w:cs="宋体"/>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_Toc5935_WPSOffice_Level2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47a947fd-847d-499c-a003-a64ce45974c6}"/>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8.2社会效益</w:t>
              </w:r>
            </w:sdtContent>
          </w:sdt>
          <w:r>
            <w:rPr>
              <w:rFonts w:hint="eastAsia" w:ascii="宋体" w:hAnsi="宋体" w:eastAsia="宋体" w:cs="宋体"/>
              <w:spacing w:val="0"/>
              <w:sz w:val="32"/>
              <w:szCs w:val="32"/>
            </w:rPr>
            <w:tab/>
          </w:r>
          <w:bookmarkStart w:id="26" w:name="_Toc5935_WPSOffice_Level2Page"/>
          <w:r>
            <w:rPr>
              <w:rFonts w:hint="eastAsia" w:ascii="宋体" w:hAnsi="宋体" w:eastAsia="宋体" w:cs="宋体"/>
              <w:spacing w:val="0"/>
              <w:sz w:val="32"/>
              <w:szCs w:val="32"/>
            </w:rPr>
            <w:t>13</w:t>
          </w:r>
          <w:bookmarkEnd w:id="26"/>
          <w:r>
            <w:rPr>
              <w:rFonts w:hint="eastAsia" w:ascii="宋体" w:hAnsi="宋体" w:eastAsia="宋体" w:cs="宋体"/>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_Toc6423_WPSOffice_Level2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d996ee15-6753-4b7f-9c5b-c1e3e416a914}"/>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8.3经济效益</w:t>
              </w:r>
            </w:sdtContent>
          </w:sdt>
          <w:r>
            <w:rPr>
              <w:rFonts w:hint="eastAsia" w:ascii="宋体" w:hAnsi="宋体" w:eastAsia="宋体" w:cs="宋体"/>
              <w:spacing w:val="0"/>
              <w:sz w:val="32"/>
              <w:szCs w:val="32"/>
            </w:rPr>
            <w:tab/>
          </w:r>
          <w:bookmarkStart w:id="27" w:name="_Toc6423_WPSOffice_Level2Page"/>
          <w:r>
            <w:rPr>
              <w:rFonts w:hint="eastAsia" w:ascii="宋体" w:hAnsi="宋体" w:eastAsia="宋体" w:cs="宋体"/>
              <w:spacing w:val="0"/>
              <w:sz w:val="32"/>
              <w:szCs w:val="32"/>
            </w:rPr>
            <w:t>13</w:t>
          </w:r>
          <w:bookmarkEnd w:id="27"/>
          <w:r>
            <w:rPr>
              <w:rFonts w:hint="eastAsia" w:ascii="宋体" w:hAnsi="宋体" w:eastAsia="宋体" w:cs="宋体"/>
              <w:spacing w:val="0"/>
              <w:sz w:val="32"/>
              <w:szCs w:val="32"/>
            </w:rPr>
            <w:fldChar w:fldCharType="end"/>
          </w:r>
        </w:p>
        <w:p>
          <w:pPr>
            <w:pStyle w:val="11"/>
            <w:tabs>
              <w:tab w:val="right" w:leader="dot" w:pos="14457"/>
            </w:tabs>
            <w:rPr>
              <w:rFonts w:hint="eastAsia" w:ascii="宋体" w:hAnsi="宋体" w:eastAsia="宋体" w:cs="宋体"/>
              <w:spacing w:val="0"/>
              <w:sz w:val="32"/>
              <w:szCs w:val="32"/>
            </w:rPr>
          </w:pPr>
          <w:r>
            <w:rPr>
              <w:rFonts w:hint="eastAsia" w:ascii="宋体" w:hAnsi="宋体" w:eastAsia="宋体" w:cs="宋体"/>
              <w:b/>
              <w:bCs/>
              <w:spacing w:val="0"/>
              <w:sz w:val="32"/>
              <w:szCs w:val="32"/>
            </w:rPr>
            <w:fldChar w:fldCharType="begin"/>
          </w:r>
          <w:r>
            <w:rPr>
              <w:rFonts w:hint="eastAsia" w:ascii="宋体" w:hAnsi="宋体" w:eastAsia="宋体" w:cs="宋体"/>
              <w:spacing w:val="0"/>
              <w:sz w:val="32"/>
              <w:szCs w:val="32"/>
            </w:rPr>
            <w:instrText xml:space="preserve"> HYPERLINK \l _Toc3548_WPSOffice_Level1 </w:instrText>
          </w:r>
          <w:r>
            <w:rPr>
              <w:rFonts w:hint="eastAsia" w:ascii="宋体" w:hAnsi="宋体" w:eastAsia="宋体" w:cs="宋体"/>
              <w:b/>
              <w:bCs/>
              <w:spacing w:val="0"/>
              <w:sz w:val="32"/>
              <w:szCs w:val="32"/>
            </w:rPr>
            <w:fldChar w:fldCharType="separate"/>
          </w:r>
          <w:sdt>
            <w:sdtPr>
              <w:rPr>
                <w:rFonts w:hint="eastAsia" w:ascii="宋体" w:hAnsi="宋体" w:eastAsia="宋体" w:cs="宋体"/>
                <w:b/>
                <w:bCs/>
                <w:snapToGrid w:val="0"/>
                <w:color w:val="000000"/>
                <w:spacing w:val="0"/>
                <w:kern w:val="0"/>
                <w:sz w:val="36"/>
                <w:szCs w:val="36"/>
                <w:lang w:val="en-US" w:eastAsia="en-US" w:bidi="ar-SA"/>
              </w:rPr>
              <w:id w:val="147475727"/>
              <w:placeholder>
                <w:docPart w:val="{81bbf9f4-68b6-421a-83e2-20263fbc0b8a}"/>
              </w:placeholder>
            </w:sdtPr>
            <w:sdtEndPr>
              <w:rPr>
                <w:rFonts w:hint="eastAsia" w:ascii="宋体" w:hAnsi="宋体" w:eastAsia="宋体" w:cs="宋体"/>
                <w:b/>
                <w:bCs/>
                <w:snapToGrid w:val="0"/>
                <w:color w:val="000000"/>
                <w:spacing w:val="0"/>
                <w:kern w:val="0"/>
                <w:sz w:val="36"/>
                <w:szCs w:val="36"/>
                <w:lang w:val="en-US" w:eastAsia="en-US" w:bidi="ar-SA"/>
              </w:rPr>
            </w:sdtEndPr>
            <w:sdtContent>
              <w:r>
                <w:rPr>
                  <w:rFonts w:hint="eastAsia" w:ascii="宋体" w:hAnsi="宋体" w:eastAsia="宋体" w:cs="宋体"/>
                  <w:b/>
                  <w:bCs/>
                  <w:spacing w:val="0"/>
                  <w:sz w:val="32"/>
                  <w:szCs w:val="32"/>
                </w:rPr>
                <w:t>9 保障措施</w:t>
              </w:r>
            </w:sdtContent>
          </w:sdt>
          <w:r>
            <w:rPr>
              <w:rFonts w:hint="eastAsia" w:ascii="宋体" w:hAnsi="宋体" w:eastAsia="宋体" w:cs="宋体"/>
              <w:b/>
              <w:bCs/>
              <w:spacing w:val="0"/>
              <w:sz w:val="32"/>
              <w:szCs w:val="32"/>
            </w:rPr>
            <w:tab/>
          </w:r>
          <w:bookmarkStart w:id="28" w:name="_Toc3548_WPSOffice_Level1Page"/>
          <w:r>
            <w:rPr>
              <w:rFonts w:hint="eastAsia" w:ascii="宋体" w:hAnsi="宋体" w:eastAsia="宋体" w:cs="宋体"/>
              <w:b/>
              <w:bCs/>
              <w:spacing w:val="0"/>
              <w:sz w:val="32"/>
              <w:szCs w:val="32"/>
            </w:rPr>
            <w:t>14</w:t>
          </w:r>
          <w:bookmarkEnd w:id="28"/>
          <w:r>
            <w:rPr>
              <w:rFonts w:hint="eastAsia" w:ascii="宋体" w:hAnsi="宋体" w:eastAsia="宋体" w:cs="宋体"/>
              <w:b/>
              <w:bCs/>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_Toc21612_WPSOffice_Level2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10429beb-6fe5-46c3-847a-a7d649bf8362}"/>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9.1强化组织管理，健全体制机制</w:t>
              </w:r>
            </w:sdtContent>
          </w:sdt>
          <w:r>
            <w:rPr>
              <w:rFonts w:hint="eastAsia" w:ascii="宋体" w:hAnsi="宋体" w:eastAsia="宋体" w:cs="宋体"/>
              <w:spacing w:val="0"/>
              <w:sz w:val="32"/>
              <w:szCs w:val="32"/>
            </w:rPr>
            <w:tab/>
          </w:r>
          <w:bookmarkStart w:id="29" w:name="_Toc21612_WPSOffice_Level2Page"/>
          <w:r>
            <w:rPr>
              <w:rFonts w:hint="eastAsia" w:ascii="宋体" w:hAnsi="宋体" w:eastAsia="宋体" w:cs="宋体"/>
              <w:spacing w:val="0"/>
              <w:sz w:val="32"/>
              <w:szCs w:val="32"/>
            </w:rPr>
            <w:t>14</w:t>
          </w:r>
          <w:bookmarkEnd w:id="29"/>
          <w:r>
            <w:rPr>
              <w:rFonts w:hint="eastAsia" w:ascii="宋体" w:hAnsi="宋体" w:eastAsia="宋体" w:cs="宋体"/>
              <w:spacing w:val="0"/>
              <w:sz w:val="32"/>
              <w:szCs w:val="32"/>
            </w:rPr>
            <w:fldChar w:fldCharType="end"/>
          </w:r>
        </w:p>
        <w:p>
          <w:pPr>
            <w:pStyle w:val="12"/>
            <w:tabs>
              <w:tab w:val="right" w:leader="dot" w:pos="14457"/>
            </w:tabs>
            <w:rPr>
              <w:rFonts w:hint="eastAsia" w:ascii="宋体" w:hAnsi="宋体" w:eastAsia="宋体" w:cs="宋体"/>
              <w:spacing w:val="0"/>
              <w:sz w:val="32"/>
              <w:szCs w:val="32"/>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_Toc5941_WPSOffice_Level2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69af6456-2fa5-4c00-a749-8e3d9946bbc0}"/>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9.2多方筹措资金，引入市场机制</w:t>
              </w:r>
            </w:sdtContent>
          </w:sdt>
          <w:r>
            <w:rPr>
              <w:rFonts w:hint="eastAsia" w:ascii="宋体" w:hAnsi="宋体" w:eastAsia="宋体" w:cs="宋体"/>
              <w:spacing w:val="0"/>
              <w:sz w:val="32"/>
              <w:szCs w:val="32"/>
            </w:rPr>
            <w:tab/>
          </w:r>
          <w:bookmarkStart w:id="30" w:name="_Toc5941_WPSOffice_Level2Page"/>
          <w:r>
            <w:rPr>
              <w:rFonts w:hint="eastAsia" w:ascii="宋体" w:hAnsi="宋体" w:eastAsia="宋体" w:cs="宋体"/>
              <w:spacing w:val="0"/>
              <w:sz w:val="32"/>
              <w:szCs w:val="32"/>
            </w:rPr>
            <w:t>14</w:t>
          </w:r>
          <w:bookmarkEnd w:id="30"/>
          <w:r>
            <w:rPr>
              <w:rFonts w:hint="eastAsia" w:ascii="宋体" w:hAnsi="宋体" w:eastAsia="宋体" w:cs="宋体"/>
              <w:spacing w:val="0"/>
              <w:sz w:val="32"/>
              <w:szCs w:val="32"/>
            </w:rPr>
            <w:fldChar w:fldCharType="end"/>
          </w:r>
        </w:p>
        <w:p>
          <w:pPr>
            <w:pStyle w:val="12"/>
            <w:tabs>
              <w:tab w:val="right" w:leader="dot" w:pos="14457"/>
            </w:tabs>
            <w:rPr>
              <w:rFonts w:hint="eastAsia" w:ascii="宋体" w:hAnsi="宋体" w:eastAsia="宋体" w:cs="宋体"/>
              <w:spacing w:val="0"/>
              <w:sz w:val="21"/>
              <w:szCs w:val="21"/>
            </w:rPr>
          </w:pPr>
          <w:r>
            <w:rPr>
              <w:rFonts w:hint="eastAsia" w:ascii="宋体" w:hAnsi="宋体" w:eastAsia="宋体" w:cs="宋体"/>
              <w:spacing w:val="0"/>
              <w:sz w:val="32"/>
              <w:szCs w:val="32"/>
            </w:rPr>
            <w:fldChar w:fldCharType="begin"/>
          </w:r>
          <w:r>
            <w:rPr>
              <w:rFonts w:hint="eastAsia" w:ascii="宋体" w:hAnsi="宋体" w:eastAsia="宋体" w:cs="宋体"/>
              <w:spacing w:val="0"/>
              <w:sz w:val="32"/>
              <w:szCs w:val="32"/>
            </w:rPr>
            <w:instrText xml:space="preserve"> HYPERLINK \l _Toc2225_WPSOffice_Level2 </w:instrText>
          </w:r>
          <w:r>
            <w:rPr>
              <w:rFonts w:hint="eastAsia" w:ascii="宋体" w:hAnsi="宋体" w:eastAsia="宋体" w:cs="宋体"/>
              <w:spacing w:val="0"/>
              <w:sz w:val="32"/>
              <w:szCs w:val="32"/>
            </w:rPr>
            <w:fldChar w:fldCharType="separate"/>
          </w:r>
          <w:sdt>
            <w:sdtPr>
              <w:rPr>
                <w:rFonts w:hint="eastAsia" w:ascii="宋体" w:hAnsi="宋体" w:eastAsia="宋体" w:cs="宋体"/>
                <w:snapToGrid w:val="0"/>
                <w:color w:val="000000"/>
                <w:spacing w:val="0"/>
                <w:kern w:val="0"/>
                <w:sz w:val="36"/>
                <w:szCs w:val="36"/>
                <w:lang w:val="en-US" w:eastAsia="en-US" w:bidi="ar-SA"/>
              </w:rPr>
              <w:id w:val="147475727"/>
              <w:placeholder>
                <w:docPart w:val="{71899c3e-0c19-4918-93e1-62e41546e8e0}"/>
              </w:placeholder>
            </w:sdtPr>
            <w:sdtEndPr>
              <w:rPr>
                <w:rFonts w:hint="eastAsia" w:ascii="宋体" w:hAnsi="宋体" w:eastAsia="宋体" w:cs="宋体"/>
                <w:snapToGrid w:val="0"/>
                <w:color w:val="000000"/>
                <w:spacing w:val="0"/>
                <w:kern w:val="0"/>
                <w:sz w:val="36"/>
                <w:szCs w:val="36"/>
                <w:lang w:val="en-US" w:eastAsia="en-US" w:bidi="ar-SA"/>
              </w:rPr>
            </w:sdtEndPr>
            <w:sdtContent>
              <w:r>
                <w:rPr>
                  <w:rFonts w:hint="eastAsia" w:ascii="宋体" w:hAnsi="宋体" w:eastAsia="宋体" w:cs="宋体"/>
                  <w:spacing w:val="0"/>
                  <w:sz w:val="32"/>
                  <w:szCs w:val="32"/>
                </w:rPr>
                <w:t>9.3加强运行管护，确保长效运行</w:t>
              </w:r>
            </w:sdtContent>
          </w:sdt>
          <w:r>
            <w:rPr>
              <w:rFonts w:hint="eastAsia" w:ascii="宋体" w:hAnsi="宋体" w:eastAsia="宋体" w:cs="宋体"/>
              <w:spacing w:val="0"/>
              <w:sz w:val="32"/>
              <w:szCs w:val="32"/>
            </w:rPr>
            <w:tab/>
          </w:r>
          <w:bookmarkStart w:id="31" w:name="_Toc2225_WPSOffice_Level2Page"/>
          <w:r>
            <w:rPr>
              <w:rFonts w:hint="eastAsia" w:ascii="宋体" w:hAnsi="宋体" w:eastAsia="宋体" w:cs="宋体"/>
              <w:spacing w:val="0"/>
              <w:sz w:val="32"/>
              <w:szCs w:val="32"/>
            </w:rPr>
            <w:t>14</w:t>
          </w:r>
          <w:bookmarkEnd w:id="31"/>
          <w:r>
            <w:rPr>
              <w:rFonts w:hint="eastAsia" w:ascii="宋体" w:hAnsi="宋体" w:eastAsia="宋体" w:cs="宋体"/>
              <w:spacing w:val="0"/>
              <w:sz w:val="32"/>
              <w:szCs w:val="32"/>
            </w:rPr>
            <w:fldChar w:fldCharType="end"/>
          </w:r>
          <w:bookmarkEnd w:id="0"/>
        </w:p>
      </w:sdtContent>
    </w:sdt>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20" w:firstLineChars="200"/>
        <w:jc w:val="both"/>
        <w:textAlignment w:val="baseline"/>
        <w:outlineLvl w:val="2"/>
        <w:rPr>
          <w:rFonts w:hint="eastAsia" w:ascii="宋体" w:hAnsi="宋体" w:eastAsia="宋体" w:cs="宋体"/>
          <w:spacing w:val="0"/>
          <w:sz w:val="36"/>
          <w:szCs w:val="36"/>
        </w:rPr>
        <w:sectPr>
          <w:headerReference r:id="rId5" w:type="default"/>
          <w:footerReference r:id="rId6" w:type="default"/>
          <w:pgSz w:w="16838" w:h="23811"/>
          <w:pgMar w:top="1440" w:right="1440" w:bottom="1440" w:left="1440" w:header="898" w:footer="1009" w:gutter="0"/>
          <w:cols w:space="0" w:num="1"/>
          <w:rtlGutter w:val="0"/>
          <w:docGrid w:linePitch="0" w:charSpace="0"/>
        </w:sect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80" w:firstLineChars="200"/>
        <w:jc w:val="center"/>
        <w:textAlignment w:val="baseline"/>
        <w:outlineLvl w:val="0"/>
        <w:rPr>
          <w:rFonts w:hint="eastAsia" w:ascii="宋体" w:hAnsi="宋体" w:eastAsia="宋体" w:cs="宋体"/>
          <w:b w:val="0"/>
          <w:bCs w:val="0"/>
          <w:spacing w:val="0"/>
          <w:sz w:val="44"/>
          <w:szCs w:val="44"/>
        </w:rPr>
      </w:pPr>
      <w:bookmarkStart w:id="32" w:name="bookmark1"/>
      <w:bookmarkEnd w:id="32"/>
      <w:bookmarkStart w:id="33" w:name="_Toc1376_WPSOffice_Level1"/>
      <w:bookmarkStart w:id="34" w:name="_Toc5625_WPSOffice_Level1"/>
      <w:r>
        <w:rPr>
          <w:rFonts w:hint="eastAsia" w:ascii="宋体" w:hAnsi="宋体" w:eastAsia="宋体" w:cs="宋体"/>
          <w:b w:val="0"/>
          <w:bCs w:val="0"/>
          <w:spacing w:val="0"/>
          <w:sz w:val="44"/>
          <w:szCs w:val="44"/>
          <w14:textOutline w14:w="6531" w14:cap="flat" w14:cmpd="sng">
            <w14:solidFill>
              <w14:srgbClr w14:val="000000"/>
            </w14:solidFill>
            <w14:prstDash w14:val="solid"/>
            <w14:miter w14:val="0"/>
          </w14:textOutline>
        </w:rPr>
        <w:t>前</w:t>
      </w:r>
      <w:r>
        <w:rPr>
          <w:rFonts w:hint="eastAsia" w:ascii="宋体" w:hAnsi="宋体" w:eastAsia="宋体" w:cs="宋体"/>
          <w:b w:val="0"/>
          <w:bCs w:val="0"/>
          <w:spacing w:val="0"/>
          <w:sz w:val="44"/>
          <w:szCs w:val="44"/>
          <w:lang w:val="en-US" w:eastAsia="zh-CN"/>
          <w14:textOutline w14:w="6531" w14:cap="flat" w14:cmpd="sng">
            <w14:solidFill>
              <w14:srgbClr w14:val="000000"/>
            </w14:solidFill>
            <w14:prstDash w14:val="solid"/>
            <w14:miter w14:val="0"/>
          </w14:textOutline>
        </w:rPr>
        <w:t xml:space="preserve">  </w:t>
      </w:r>
      <w:r>
        <w:rPr>
          <w:rFonts w:hint="eastAsia" w:ascii="宋体" w:hAnsi="宋体" w:eastAsia="宋体" w:cs="宋体"/>
          <w:b w:val="0"/>
          <w:bCs w:val="0"/>
          <w:spacing w:val="0"/>
          <w:sz w:val="44"/>
          <w:szCs w:val="44"/>
          <w14:textOutline w14:w="6531" w14:cap="flat" w14:cmpd="sng">
            <w14:solidFill>
              <w14:srgbClr w14:val="000000"/>
            </w14:solidFill>
            <w14:prstDash w14:val="solid"/>
            <w14:miter w14:val="0"/>
          </w14:textOutline>
        </w:rPr>
        <w:t>言</w:t>
      </w:r>
      <w:bookmarkEnd w:id="33"/>
      <w:bookmarkEnd w:id="34"/>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宋体" w:hAnsi="宋体" w:eastAsia="宋体" w:cs="宋体"/>
          <w:spacing w:val="0"/>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宋体" w:hAnsi="宋体" w:eastAsia="宋体" w:cs="宋体"/>
          <w:spacing w:val="0"/>
          <w:sz w:val="32"/>
          <w:szCs w:val="32"/>
        </w:rPr>
      </w:pPr>
      <w:r>
        <w:rPr>
          <w:rFonts w:hint="eastAsia" w:ascii="宋体" w:hAnsi="宋体" w:eastAsia="宋体" w:cs="宋体"/>
          <w:spacing w:val="0"/>
          <w:sz w:val="32"/>
          <w:szCs w:val="32"/>
        </w:rPr>
        <w:t>根据《云南省水利厅关于抓紧开展“十四五”农村供水保障规划编制工作的通知》（云水农〔2020〕2号）要求，为切实做好《麻栗坡县“十四五”农村供水保障规划》（以下简称《规划》）的编制工作，县委、</w:t>
      </w:r>
      <w:r>
        <w:rPr>
          <w:rFonts w:hint="eastAsia" w:ascii="宋体" w:hAnsi="宋体" w:eastAsia="宋体" w:cs="宋体"/>
          <w:spacing w:val="0"/>
          <w:sz w:val="32"/>
          <w:szCs w:val="32"/>
          <w:lang w:val="en-US" w:eastAsia="zh-CN"/>
        </w:rPr>
        <w:t>县</w:t>
      </w:r>
      <w:r>
        <w:rPr>
          <w:rFonts w:hint="eastAsia" w:ascii="宋体" w:hAnsi="宋体" w:eastAsia="宋体" w:cs="宋体"/>
          <w:spacing w:val="0"/>
          <w:sz w:val="32"/>
          <w:szCs w:val="32"/>
        </w:rPr>
        <w:t>政府高度重视，组织</w:t>
      </w:r>
      <w:r>
        <w:rPr>
          <w:rFonts w:hint="eastAsia" w:ascii="宋体" w:hAnsi="宋体" w:eastAsia="宋体" w:cs="宋体"/>
          <w:spacing w:val="0"/>
          <w:sz w:val="32"/>
          <w:szCs w:val="32"/>
          <w:lang w:val="en-US" w:eastAsia="zh-CN"/>
        </w:rPr>
        <w:t>相关部门</w:t>
      </w:r>
      <w:r>
        <w:rPr>
          <w:rFonts w:hint="eastAsia" w:ascii="宋体" w:hAnsi="宋体" w:eastAsia="宋体" w:cs="宋体"/>
          <w:spacing w:val="0"/>
          <w:sz w:val="32"/>
          <w:szCs w:val="32"/>
        </w:rPr>
        <w:t>技术人员深入调查</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认真研究，针对</w:t>
      </w:r>
      <w:r>
        <w:rPr>
          <w:rFonts w:hint="eastAsia" w:ascii="宋体" w:hAnsi="宋体" w:eastAsia="宋体" w:cs="宋体"/>
          <w:spacing w:val="0"/>
          <w:sz w:val="32"/>
          <w:szCs w:val="32"/>
          <w:lang w:val="en-US" w:eastAsia="zh-CN"/>
        </w:rPr>
        <w:t>麻栗坡县</w:t>
      </w:r>
      <w:r>
        <w:rPr>
          <w:rFonts w:hint="eastAsia" w:ascii="宋体" w:hAnsi="宋体" w:eastAsia="宋体" w:cs="宋体"/>
          <w:spacing w:val="0"/>
          <w:sz w:val="32"/>
          <w:szCs w:val="32"/>
        </w:rPr>
        <w:t>农村饮用水水质存在的严重问题，本着实事求是、突出重点，集中规划解决的原则，在麻栗坡县农村饮水安全工程“十二五”“十三五”规划基础上，组织完成了《规划》</w:t>
      </w:r>
      <w:r>
        <w:rPr>
          <w:rFonts w:hint="eastAsia" w:ascii="宋体" w:hAnsi="宋体" w:eastAsia="宋体" w:cs="宋体"/>
          <w:spacing w:val="0"/>
          <w:sz w:val="32"/>
          <w:szCs w:val="32"/>
          <w:lang w:val="en-US" w:eastAsia="zh-CN"/>
        </w:rPr>
        <w:t>的</w:t>
      </w:r>
      <w:r>
        <w:rPr>
          <w:rFonts w:hint="eastAsia" w:ascii="宋体" w:hAnsi="宋体" w:eastAsia="宋体" w:cs="宋体"/>
          <w:spacing w:val="0"/>
          <w:sz w:val="32"/>
          <w:szCs w:val="32"/>
        </w:rPr>
        <w:t>编制。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宋体" w:hAnsi="宋体" w:eastAsia="宋体" w:cs="宋体"/>
          <w:spacing w:val="0"/>
          <w:sz w:val="32"/>
          <w:szCs w:val="32"/>
        </w:rPr>
      </w:pPr>
      <w:r>
        <w:rPr>
          <w:rFonts w:hint="eastAsia" w:ascii="宋体" w:hAnsi="宋体" w:eastAsia="宋体" w:cs="宋体"/>
          <w:spacing w:val="0"/>
          <w:sz w:val="32"/>
          <w:szCs w:val="32"/>
        </w:rPr>
        <w:t>《规划》主要以</w:t>
      </w:r>
      <w:r>
        <w:rPr>
          <w:rFonts w:hint="eastAsia" w:ascii="宋体" w:hAnsi="宋体" w:eastAsia="宋体" w:cs="宋体"/>
          <w:spacing w:val="0"/>
          <w:sz w:val="32"/>
          <w:szCs w:val="32"/>
          <w:lang w:val="en-US" w:eastAsia="zh-CN"/>
        </w:rPr>
        <w:t>全县</w:t>
      </w:r>
      <w:r>
        <w:rPr>
          <w:rFonts w:hint="eastAsia" w:ascii="宋体" w:hAnsi="宋体" w:eastAsia="宋体" w:cs="宋体"/>
          <w:spacing w:val="0"/>
          <w:sz w:val="32"/>
          <w:szCs w:val="32"/>
        </w:rPr>
        <w:t>“十三五”实施情况为基础，以集中供水率</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自来水普及率、供水保证率、水质达标率和工程运行管理水平“四率一水平”的具体指标为导向，将全县农村供水现状存在的问题和短板</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包括水源工程的问题、供水设施的问题、水质处理的问题、水利设施管理问题等，进行收集</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分析，结合当地地形条件、水资源分布的特点等客观条件，针对不同类型的问题，提出规划思路。</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宋体" w:hAnsi="宋体" w:eastAsia="宋体" w:cs="宋体"/>
          <w:color w:val="auto"/>
          <w:spacing w:val="0"/>
          <w:sz w:val="32"/>
          <w:szCs w:val="32"/>
          <w:highlight w:val="none"/>
          <w:lang w:eastAsia="zh-CN"/>
        </w:rPr>
      </w:pPr>
      <w:r>
        <w:rPr>
          <w:rFonts w:hint="eastAsia" w:ascii="宋体" w:hAnsi="宋体" w:eastAsia="宋体" w:cs="宋体"/>
          <w:spacing w:val="0"/>
          <w:sz w:val="32"/>
          <w:szCs w:val="32"/>
        </w:rPr>
        <w:t>“十</w:t>
      </w:r>
      <w:r>
        <w:rPr>
          <w:rFonts w:hint="eastAsia" w:ascii="宋体" w:hAnsi="宋体" w:eastAsia="宋体" w:cs="宋体"/>
          <w:spacing w:val="0"/>
          <w:sz w:val="32"/>
          <w:szCs w:val="32"/>
          <w:lang w:val="en-US" w:eastAsia="zh-CN"/>
        </w:rPr>
        <w:t>三</w:t>
      </w:r>
      <w:r>
        <w:rPr>
          <w:rFonts w:hint="eastAsia" w:ascii="宋体" w:hAnsi="宋体" w:eastAsia="宋体" w:cs="宋体"/>
          <w:spacing w:val="0"/>
          <w:sz w:val="32"/>
          <w:szCs w:val="32"/>
        </w:rPr>
        <w:t>五”以来，麻栗坡县农村供水工作以问题为导向，精准施策，大力实施农村饮水安全、饮水安全巩固提升、人饮小水窖“三大工程”，全县饮水安全保障率得到显著提升，为全县脱贫攻坚贫困村脱贫出列、贫困户退出提供了</w:t>
      </w:r>
      <w:r>
        <w:rPr>
          <w:rFonts w:hint="eastAsia" w:ascii="宋体" w:hAnsi="宋体" w:eastAsia="宋体" w:cs="宋体"/>
          <w:spacing w:val="0"/>
          <w:sz w:val="32"/>
          <w:szCs w:val="32"/>
          <w:lang w:eastAsia="zh-CN"/>
        </w:rPr>
        <w:t>坚实保障，截至</w:t>
      </w:r>
      <w:r>
        <w:rPr>
          <w:rFonts w:hint="eastAsia" w:ascii="宋体" w:hAnsi="宋体" w:eastAsia="宋体" w:cs="宋体"/>
          <w:color w:val="auto"/>
          <w:spacing w:val="0"/>
          <w:sz w:val="32"/>
          <w:szCs w:val="32"/>
          <w:highlight w:val="none"/>
        </w:rPr>
        <w:t>2020年底，建成农村千人以上供水工程达19处，建成集中式供水519处，建成集雨、水窖、引泉工程等分散式供水工程共计7664处</w:t>
      </w: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全县集中供水人口达20.52万人</w:t>
      </w: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分散式供水人口达4.85万人，共覆盖全县25.37万人，农村集中供水率达80.88%</w:t>
      </w:r>
      <w:r>
        <w:rPr>
          <w:rFonts w:hint="eastAsia" w:ascii="宋体" w:hAnsi="宋体" w:eastAsia="宋体" w:cs="宋体"/>
          <w:color w:val="auto"/>
          <w:spacing w:val="0"/>
          <w:sz w:val="32"/>
          <w:szCs w:val="32"/>
          <w:highlight w:val="none"/>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宋体" w:hAnsi="宋体" w:eastAsia="宋体" w:cs="宋体"/>
          <w:spacing w:val="0"/>
          <w:sz w:val="32"/>
          <w:szCs w:val="32"/>
          <w:lang w:val="en-US" w:eastAsia="zh-CN"/>
        </w:rPr>
      </w:pPr>
      <w:r>
        <w:rPr>
          <w:rFonts w:hint="eastAsia" w:ascii="宋体" w:hAnsi="宋体" w:eastAsia="宋体" w:cs="宋体"/>
          <w:spacing w:val="0"/>
          <w:sz w:val="32"/>
          <w:szCs w:val="32"/>
        </w:rPr>
        <w:t>麻栗坡县地处深度山区，全县国土面积99.99%为构造侵蚀山地地貌</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河流深切严重，季风气候明显。绝大部分人民群众居住在山区或半山区，季节性</w:t>
      </w:r>
      <w:r>
        <w:rPr>
          <w:rFonts w:hint="eastAsia" w:ascii="宋体" w:hAnsi="宋体" w:eastAsia="宋体" w:cs="宋体"/>
          <w:color w:val="auto"/>
          <w:spacing w:val="0"/>
          <w:sz w:val="32"/>
          <w:szCs w:val="32"/>
        </w:rPr>
        <w:t>、区域性、工程性缺水情况十分突出。加之受上世纪80年代到90年代初工作重心为支前的影响，造成了全县水利基础设施建设起步晚、历史欠账大</w:t>
      </w:r>
      <w:r>
        <w:rPr>
          <w:rFonts w:hint="eastAsia" w:ascii="宋体" w:hAnsi="宋体" w:eastAsia="宋体" w:cs="宋体"/>
          <w:color w:val="auto"/>
          <w:spacing w:val="0"/>
          <w:sz w:val="32"/>
          <w:szCs w:val="32"/>
          <w:lang w:eastAsia="zh-CN"/>
        </w:rPr>
        <w:t>。</w:t>
      </w:r>
      <w:r>
        <w:rPr>
          <w:rFonts w:hint="eastAsia" w:ascii="宋体" w:hAnsi="宋体" w:eastAsia="宋体" w:cs="宋体"/>
          <w:color w:val="auto"/>
          <w:spacing w:val="0"/>
          <w:sz w:val="32"/>
          <w:szCs w:val="32"/>
        </w:rPr>
        <w:t>麻栗坡县农村供水工程现状主要存在以下几个问题：</w:t>
      </w:r>
      <w:r>
        <w:rPr>
          <w:rFonts w:hint="eastAsia" w:ascii="宋体" w:hAnsi="宋体" w:eastAsia="宋体" w:cs="宋体"/>
          <w:b/>
          <w:bCs/>
          <w:color w:val="auto"/>
          <w:spacing w:val="0"/>
          <w:sz w:val="32"/>
          <w:szCs w:val="32"/>
        </w:rPr>
        <w:t>一是</w:t>
      </w:r>
      <w:r>
        <w:rPr>
          <w:rFonts w:hint="eastAsia" w:ascii="宋体" w:hAnsi="宋体" w:eastAsia="宋体" w:cs="宋体"/>
          <w:spacing w:val="0"/>
          <w:sz w:val="32"/>
          <w:szCs w:val="32"/>
        </w:rPr>
        <w:t>农村供水工程建设规模小，标准参差不齐，绝大部分都没有配套水质处理设施，水质合格率低；</w:t>
      </w:r>
      <w:r>
        <w:rPr>
          <w:rFonts w:hint="eastAsia" w:ascii="宋体" w:hAnsi="宋体" w:eastAsia="宋体" w:cs="宋体"/>
          <w:b/>
          <w:bCs/>
          <w:spacing w:val="0"/>
          <w:sz w:val="32"/>
          <w:szCs w:val="32"/>
          <w:lang w:val="en-US" w:eastAsia="zh-CN"/>
        </w:rPr>
        <w:t>二</w:t>
      </w:r>
      <w:r>
        <w:rPr>
          <w:rFonts w:hint="eastAsia" w:ascii="宋体" w:hAnsi="宋体" w:eastAsia="宋体" w:cs="宋体"/>
          <w:b/>
          <w:bCs/>
          <w:spacing w:val="0"/>
          <w:sz w:val="32"/>
          <w:szCs w:val="32"/>
        </w:rPr>
        <w:t>是</w:t>
      </w:r>
      <w:r>
        <w:rPr>
          <w:rFonts w:hint="eastAsia" w:ascii="宋体" w:hAnsi="宋体" w:eastAsia="宋体" w:cs="宋体"/>
          <w:spacing w:val="0"/>
          <w:sz w:val="32"/>
          <w:szCs w:val="32"/>
        </w:rPr>
        <w:t>农村供水工程水源绝大部分为地表箐沟水，抗旱能力十分有限，供水保障率低。</w:t>
      </w:r>
      <w:r>
        <w:rPr>
          <w:rFonts w:hint="eastAsia" w:ascii="宋体" w:hAnsi="宋体" w:eastAsia="宋体" w:cs="宋体"/>
          <w:b/>
          <w:bCs/>
          <w:spacing w:val="0"/>
          <w:sz w:val="32"/>
          <w:szCs w:val="32"/>
          <w:lang w:val="en-US" w:eastAsia="zh-CN"/>
        </w:rPr>
        <w:t>三</w:t>
      </w:r>
      <w:r>
        <w:rPr>
          <w:rFonts w:hint="eastAsia" w:ascii="宋体" w:hAnsi="宋体" w:eastAsia="宋体" w:cs="宋体"/>
          <w:b/>
          <w:bCs/>
          <w:spacing w:val="0"/>
          <w:sz w:val="32"/>
          <w:szCs w:val="32"/>
        </w:rPr>
        <w:t>是</w:t>
      </w:r>
      <w:r>
        <w:rPr>
          <w:rFonts w:hint="eastAsia" w:ascii="宋体" w:hAnsi="宋体" w:eastAsia="宋体" w:cs="宋体"/>
          <w:spacing w:val="0"/>
          <w:sz w:val="32"/>
          <w:szCs w:val="32"/>
        </w:rPr>
        <w:t>“三个责任人”和“三项制度”未全面落实，没有“水商品”意识，水费收取率低，导致管护难度大；</w:t>
      </w:r>
      <w:r>
        <w:rPr>
          <w:rFonts w:hint="eastAsia" w:ascii="宋体" w:hAnsi="宋体" w:eastAsia="宋体" w:cs="宋体"/>
          <w:b/>
          <w:bCs/>
          <w:spacing w:val="0"/>
          <w:sz w:val="32"/>
          <w:szCs w:val="32"/>
          <w:lang w:val="en-US" w:eastAsia="zh-CN"/>
        </w:rPr>
        <w:t>四</w:t>
      </w:r>
      <w:r>
        <w:rPr>
          <w:rFonts w:hint="eastAsia" w:ascii="宋体" w:hAnsi="宋体" w:eastAsia="宋体" w:cs="宋体"/>
          <w:b/>
          <w:bCs/>
          <w:spacing w:val="0"/>
          <w:sz w:val="32"/>
          <w:szCs w:val="32"/>
        </w:rPr>
        <w:t>是</w:t>
      </w:r>
      <w:r>
        <w:rPr>
          <w:rFonts w:hint="eastAsia" w:ascii="宋体" w:hAnsi="宋体" w:eastAsia="宋体" w:cs="宋体"/>
          <w:spacing w:val="0"/>
          <w:sz w:val="32"/>
          <w:szCs w:val="32"/>
        </w:rPr>
        <w:t>大部分分散式供水工程建设年代久、标准低，水质合格率低，急需改造提升。</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宋体" w:hAnsi="宋体" w:eastAsia="宋体" w:cs="宋体"/>
          <w:spacing w:val="0"/>
          <w:sz w:val="32"/>
          <w:szCs w:val="32"/>
          <w:lang w:eastAsia="zh-CN"/>
        </w:rPr>
      </w:pPr>
      <w:r>
        <w:rPr>
          <w:rFonts w:hint="eastAsia" w:ascii="宋体" w:hAnsi="宋体" w:eastAsia="宋体" w:cs="宋体"/>
          <w:spacing w:val="0"/>
          <w:sz w:val="32"/>
          <w:szCs w:val="32"/>
        </w:rPr>
        <w:t>麻栗坡县“十四五”农村供水保障总体规划思路为，围绕提高集中供水率、供水保障率、水质合格率为核心，以全面落实农村供水保障“三个责任人”和“三项制度”，牢固树立“水商品”意识</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切实提升农村供水工程管护能力为保障；以强化政府对水资源的统一科学规划使用为推手，大力整合全县现有水资源，采用引、提、蓄等措施，实施跨村跨乡的小型水网工程</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供水管网设施提升改造工程、标准化水厂工程、分散式供水水窖加盖（或处漏）和抗旱应急工程等四大工程</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全面提升全县农村供水设施的标准化</w:t>
      </w:r>
      <w:r>
        <w:rPr>
          <w:rFonts w:hint="eastAsia" w:ascii="宋体" w:hAnsi="宋体" w:eastAsia="宋体" w:cs="宋体"/>
          <w:color w:val="auto"/>
          <w:spacing w:val="0"/>
          <w:sz w:val="32"/>
          <w:szCs w:val="32"/>
          <w:lang w:eastAsia="zh-CN"/>
        </w:rPr>
        <w:t>、</w:t>
      </w:r>
      <w:r>
        <w:rPr>
          <w:rFonts w:hint="eastAsia" w:ascii="宋体" w:hAnsi="宋体" w:eastAsia="宋体" w:cs="宋体"/>
          <w:color w:val="auto"/>
          <w:spacing w:val="0"/>
          <w:sz w:val="32"/>
          <w:szCs w:val="32"/>
        </w:rPr>
        <w:t>规范化</w:t>
      </w:r>
      <w:r>
        <w:rPr>
          <w:rFonts w:hint="eastAsia" w:ascii="宋体" w:hAnsi="宋体" w:eastAsia="宋体" w:cs="宋体"/>
          <w:color w:val="auto"/>
          <w:spacing w:val="0"/>
          <w:sz w:val="32"/>
          <w:szCs w:val="32"/>
          <w:lang w:eastAsia="zh-CN"/>
        </w:rPr>
        <w:t>。</w:t>
      </w:r>
      <w:bookmarkStart w:id="35" w:name="_Toc18704_WPSOffice_Level2"/>
      <w:bookmarkStart w:id="36" w:name="_Toc5516_WPSOffice_Level2"/>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80" w:firstLineChars="200"/>
        <w:jc w:val="both"/>
        <w:textAlignment w:val="baseline"/>
        <w:outlineLvl w:val="9"/>
        <w:rPr>
          <w:rFonts w:hint="eastAsia" w:ascii="宋体" w:hAnsi="宋体" w:eastAsia="宋体" w:cs="宋体"/>
          <w:spacing w:val="0"/>
          <w:sz w:val="44"/>
          <w:szCs w:val="44"/>
          <w:lang w:val="en-US" w:eastAsia="zh-CN"/>
        </w:rPr>
      </w:pPr>
      <w:r>
        <w:rPr>
          <w:rFonts w:hint="eastAsia" w:ascii="宋体" w:hAnsi="宋体" w:eastAsia="宋体" w:cs="宋体"/>
          <w:spacing w:val="0"/>
          <w:sz w:val="44"/>
          <w:szCs w:val="44"/>
          <w:lang w:val="en-US" w:eastAsia="zh-CN"/>
        </w:rPr>
        <w:t>1·农村供水现状</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1"/>
        <w:rPr>
          <w:rFonts w:hint="eastAsia" w:ascii="宋体" w:hAnsi="宋体" w:eastAsia="宋体" w:cs="宋体"/>
          <w:b/>
          <w:bCs/>
          <w:spacing w:val="0"/>
          <w:sz w:val="40"/>
          <w:szCs w:val="40"/>
        </w:rPr>
      </w:pPr>
      <w:r>
        <w:rPr>
          <w:rFonts w:hint="eastAsia" w:ascii="宋体" w:hAnsi="宋体" w:eastAsia="宋体" w:cs="宋体"/>
          <w:b/>
          <w:bCs/>
          <w:spacing w:val="0"/>
          <w:sz w:val="40"/>
          <w:szCs w:val="40"/>
        </w:rPr>
        <w:t>1.1</w:t>
      </w:r>
      <w:r>
        <w:rPr>
          <w:rFonts w:hint="eastAsia" w:ascii="宋体" w:hAnsi="宋体" w:eastAsia="宋体" w:cs="宋体"/>
          <w:b/>
          <w:bCs/>
          <w:spacing w:val="0"/>
          <w:sz w:val="40"/>
          <w:szCs w:val="40"/>
          <w:lang w:val="en-US" w:eastAsia="zh-CN"/>
        </w:rPr>
        <w:t xml:space="preserve"> </w:t>
      </w:r>
      <w:r>
        <w:rPr>
          <w:rFonts w:hint="eastAsia" w:ascii="宋体" w:hAnsi="宋体" w:eastAsia="宋体" w:cs="宋体"/>
          <w:b/>
          <w:bCs/>
          <w:spacing w:val="0"/>
          <w:sz w:val="40"/>
          <w:szCs w:val="40"/>
        </w:rPr>
        <w:t>麻栗坡县基本情况</w:t>
      </w:r>
      <w:bookmarkEnd w:id="35"/>
      <w:bookmarkEnd w:id="36"/>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2"/>
        <w:rPr>
          <w:rFonts w:hint="eastAsia" w:ascii="宋体" w:hAnsi="宋体" w:eastAsia="宋体" w:cs="宋体"/>
          <w:b/>
          <w:bCs/>
          <w:spacing w:val="0"/>
          <w:sz w:val="40"/>
          <w:szCs w:val="40"/>
        </w:rPr>
      </w:pPr>
      <w:bookmarkStart w:id="37" w:name="_Toc5516_WPSOffice_Level3"/>
      <w:r>
        <w:rPr>
          <w:rFonts w:hint="eastAsia" w:ascii="宋体" w:hAnsi="宋体" w:eastAsia="宋体" w:cs="宋体"/>
          <w:b/>
          <w:bCs/>
          <w:spacing w:val="0"/>
          <w:sz w:val="40"/>
          <w:szCs w:val="40"/>
        </w:rPr>
        <w:t>1.1.1</w:t>
      </w:r>
      <w:r>
        <w:rPr>
          <w:rFonts w:hint="eastAsia" w:ascii="宋体" w:hAnsi="宋体" w:eastAsia="宋体" w:cs="宋体"/>
          <w:b/>
          <w:bCs/>
          <w:spacing w:val="0"/>
          <w:sz w:val="40"/>
          <w:szCs w:val="40"/>
          <w:lang w:val="en-US" w:eastAsia="zh-CN"/>
        </w:rPr>
        <w:t xml:space="preserve"> </w:t>
      </w:r>
      <w:r>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t>自然地理</w:t>
      </w:r>
      <w:bookmarkEnd w:id="37"/>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麻栗坡县位于云南省文山壮族苗族自治州东南部，地处东经104°33′03″至105°18′04″，北纬22°48′54″至23°34′02″之间</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县境东部与富宁县连接，西部与马关县毗邻，北部与西畴县、广南县相连，东部与越南社会主义共和国河江省同文、安明、官坝、渭川、黄树皮、河江“五县一市”接壤，国境线长277公里，占中越陆地边界线长的13.9%、占云南省国境线长的20.5%、占文山州国境线长的63.2%。全县国土面积2334平方公里，山区面积占99.9%</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属典型的喀斯特地貌。地形自西向东倾斜，属亚热带湿润季风气候，最高海拔2579米（省级自然保护区老君山），最低海拔107米（国家级天保口岸盘龙河出境处），县城所在地海拔1053米，森林覆盖率为35.14%。全县年平均气温17.7℃,无霜期330天，降水量1068毫米，蒸发量1300毫米，日照时数1517.3小时，相对湿度84%。全县辖4镇7乡96个村（居）民委员会1935个村民小组。境内有国家级口岸1个、边民互市点14个、边境通道108条。县城距州府文山74公里，距省会昆明419公里，距越南河江市64公里，距越南首都河内市380公里。</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全县坐落在华南地槽系，南温河穹隆分布于文山—麻栗坡断裂的西部，包括麻栗坡、大坪、天保、猛硐等地区；八布复向斜分布于文—麻断裂东北部，包括茨竹坝、下金厂、杨万、六河、铁厂、董干、马街的全部地区。出露地层有碳酸盐岩、花岗岩、变质岩，以碳酸盐分布最为广泛。县境中部大部分地区，尤其东北部南利河与八布河流域之间为大面积岩溶山原，全县地质构造较复杂。在地形上，麻栗坡县地处滇东南岩溶高原的斜坡地带，境内石灰岩广泛分布，峰丛石山发育，遍布高山峡谷等岩溶地貌类型。除少数溶蚀洼地外，无较大平坝；全县最高点老君山主峰海拔2579米，最低点天保口岸盘龙河水面海拔仅107米。</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highlight w:val="none"/>
        </w:rPr>
      </w:pPr>
      <w:r>
        <w:rPr>
          <w:rFonts w:hint="eastAsia" w:ascii="宋体" w:hAnsi="宋体" w:eastAsia="宋体" w:cs="宋体"/>
          <w:spacing w:val="0"/>
          <w:sz w:val="32"/>
          <w:szCs w:val="32"/>
          <w:highlight w:val="none"/>
        </w:rPr>
        <w:t>麻栗坡县地处北回归线以南低纬区，属南亚热带湿润季风气候，雨量比较充沛，全县年降雨量在1051～1900mm之间，多年平均降雨量1455.8mm。5～10月为雨季，而雨量主要集中在7、8、9三个月，7～9月的降雨量占全年降雨量的50%以上，5～10月降雨量占全年降雨量的80%以上，降雨年内分配极不均匀，降雨的分布随地形的变化而变化</w:t>
      </w:r>
      <w:r>
        <w:rPr>
          <w:rFonts w:hint="eastAsia" w:ascii="宋体" w:hAnsi="宋体" w:eastAsia="宋体" w:cs="宋体"/>
          <w:spacing w:val="0"/>
          <w:sz w:val="32"/>
          <w:szCs w:val="32"/>
          <w:highlight w:val="none"/>
          <w:lang w:eastAsia="zh-CN"/>
        </w:rPr>
        <w:t>，</w:t>
      </w:r>
      <w:r>
        <w:rPr>
          <w:rFonts w:hint="eastAsia" w:ascii="宋体" w:hAnsi="宋体" w:eastAsia="宋体" w:cs="宋体"/>
          <w:spacing w:val="0"/>
          <w:sz w:val="32"/>
          <w:szCs w:val="32"/>
          <w:highlight w:val="none"/>
        </w:rPr>
        <w:t>由高海拔向低海拔区逐步递减，总体分布为南大北小。11月至次年4月为旱季，由于受东亚季风控制，常保持烈日当空、晴朗少云的干燥气候，降雨量较少，仅占全年降雨量的20%左右。全县多年平均降水量33.76亿立方米、径流量17.0亿立方米，每年入境水量28.43亿立方米（未含南利河界河）。</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全县的水面蒸发量在800～1050mm之间，地区分布为南小北大。陆面蒸发量在650～800mm之间。陆面蒸发受气候、地形、岩性、水文地质、植被条件等因素的影响，各地差异较大：在各干流出口地段与国界线一带及岩溶山区为中值区，年蒸发量约650～700mm之间；在麻栗坡县城区附近及南利河中、上游地区为低值区，年蒸发量在600～650mm之间；在与马关县交界的老君山地区为高值区，由于降雨量大，提供了较多的蒸发水量，</w:t>
      </w:r>
      <w:r>
        <w:rPr>
          <w:rFonts w:hint="eastAsia" w:ascii="宋体" w:hAnsi="宋体" w:eastAsia="宋体" w:cs="宋体"/>
          <w:color w:val="auto"/>
          <w:spacing w:val="0"/>
          <w:sz w:val="32"/>
          <w:szCs w:val="32"/>
        </w:rPr>
        <w:t>加上其</w:t>
      </w:r>
      <w:r>
        <w:rPr>
          <w:rFonts w:hint="eastAsia" w:ascii="宋体" w:hAnsi="宋体" w:eastAsia="宋体" w:cs="宋体"/>
          <w:color w:val="auto"/>
          <w:spacing w:val="0"/>
          <w:sz w:val="32"/>
          <w:szCs w:val="32"/>
          <w:lang w:val="en-US" w:eastAsia="zh-CN"/>
        </w:rPr>
        <w:t>他</w:t>
      </w:r>
      <w:r>
        <w:rPr>
          <w:rFonts w:hint="eastAsia" w:ascii="宋体" w:hAnsi="宋体" w:eastAsia="宋体" w:cs="宋体"/>
          <w:spacing w:val="0"/>
          <w:sz w:val="32"/>
          <w:szCs w:val="32"/>
        </w:rPr>
        <w:t>种种因素的影响，陆面蒸发量为750～800mm。陆面蒸发的分布规律是山区、坡地、低温区较小，而在坝区、河流两岸则较大。</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麻栗坡县的年径流深及其分布，总趋势是由南往北递减。年径流深高值区，分布在中越边境附近，其径流深高达800～1100mm，最小径流深分布在畴阳河谷内，仅为500mm</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年平均径流深731mm。县境内年平均气温10.0°C～23.0°C之间，年平均气温随着高程的升降而变化，变幅在10°C以内，老君山年均气温11.9°C，船头河谷年均气温21.7°C。</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lang w:val="en-US" w:eastAsia="zh-CN"/>
        </w:rPr>
        <w:t>受</w:t>
      </w:r>
      <w:r>
        <w:rPr>
          <w:rFonts w:hint="eastAsia" w:ascii="宋体" w:hAnsi="宋体" w:eastAsia="宋体" w:cs="宋体"/>
          <w:spacing w:val="0"/>
          <w:sz w:val="32"/>
          <w:szCs w:val="32"/>
        </w:rPr>
        <w:t>地势、海拔</w:t>
      </w:r>
      <w:r>
        <w:rPr>
          <w:rFonts w:hint="eastAsia" w:ascii="宋体" w:hAnsi="宋体" w:eastAsia="宋体" w:cs="宋体"/>
          <w:color w:val="auto"/>
          <w:spacing w:val="0"/>
          <w:sz w:val="32"/>
          <w:szCs w:val="32"/>
          <w:lang w:eastAsia="zh-CN"/>
        </w:rPr>
        <w:t>、</w:t>
      </w:r>
      <w:r>
        <w:rPr>
          <w:rFonts w:hint="eastAsia" w:ascii="宋体" w:hAnsi="宋体" w:eastAsia="宋体" w:cs="宋体"/>
          <w:spacing w:val="0"/>
          <w:sz w:val="32"/>
          <w:szCs w:val="32"/>
        </w:rPr>
        <w:t>生物</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气候</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lang w:val="en-US" w:eastAsia="zh-CN"/>
        </w:rPr>
        <w:t>岩层等因素影响，县域</w:t>
      </w:r>
      <w:r>
        <w:rPr>
          <w:rFonts w:hint="eastAsia" w:ascii="宋体" w:hAnsi="宋体" w:eastAsia="宋体" w:cs="宋体"/>
          <w:spacing w:val="0"/>
          <w:sz w:val="32"/>
          <w:szCs w:val="32"/>
        </w:rPr>
        <w:t>土壤分布的类型具有多样性和较规律的土壤垂直分布特点。全县土壤分布为砖红壤、赤红壤、红壤、黄壤、石灰岩土和水稻土六个土类。在1800m以上的高海拔地区，植被较好，气候温凉、空气湿度大，盐基淋溶性强，酸度大，表土有机物丰富，地质疏松，自然肥力高，形成黄壤。在海拔1000—1400m地区，气候温和，雨量充沛，有一定植被覆盖，生物活动旺盛，土壤酸性大，属中山坡地，水土流失严重，形成黄红壤和红壤。在400—1000m低海拔地区，为盘龙河、畴阳河、八布河、南利河两岸中山区，雨量偏少，无霜期长，属南亚热带季风气候，植被为亚热带常绿灌木，土壤母质多为</w:t>
      </w:r>
      <w:r>
        <w:rPr>
          <w:rFonts w:hint="eastAsia" w:ascii="宋体" w:hAnsi="宋体" w:eastAsia="宋体" w:cs="宋体"/>
          <w:color w:val="auto"/>
          <w:spacing w:val="0"/>
          <w:sz w:val="32"/>
          <w:szCs w:val="32"/>
          <w:lang w:val="en-US" w:eastAsia="zh-CN"/>
        </w:rPr>
        <w:t>三叠纪</w:t>
      </w:r>
      <w:r>
        <w:rPr>
          <w:rFonts w:hint="eastAsia" w:ascii="宋体" w:hAnsi="宋体" w:eastAsia="宋体" w:cs="宋体"/>
          <w:spacing w:val="0"/>
          <w:sz w:val="32"/>
          <w:szCs w:val="32"/>
        </w:rPr>
        <w:t>上统泥质页岩，坡度较陡，气候干燥炎热，形成的土壤为赤红壤、黄色赤红壤。在海拔400m以下的河谷地区，终年无霜，气候酷热，形成砖红壤。在海拔1400—1800m的铁厂等石山地区，气候冷凉，植被为灌木杂丛，雨量充沛，湿度大，形成石灰岩棕泡土。</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全县林业用地总面积206.79万亩，占全县总面积的59.1%，现有林地面积117.59万亩，全县森林覆盖率为34.75%</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由于受地形和气候变化的影响，森林树种结构呈现多样性，既有热带雨林，又有寒带树种</w:t>
      </w:r>
      <w:r>
        <w:rPr>
          <w:rFonts w:hint="eastAsia" w:ascii="宋体" w:hAnsi="宋体" w:eastAsia="宋体" w:cs="宋体"/>
          <w:spacing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2"/>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pPr>
      <w:bookmarkStart w:id="38" w:name="_Toc8675_WPSOffice_Level3"/>
      <w:r>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t>1.1.2</w:t>
      </w:r>
      <w:r>
        <w:rPr>
          <w:rFonts w:hint="eastAsia" w:ascii="宋体" w:hAnsi="宋体" w:eastAsia="宋体" w:cs="宋体"/>
          <w:b/>
          <w:bCs/>
          <w:spacing w:val="0"/>
          <w:sz w:val="40"/>
          <w:szCs w:val="40"/>
          <w:lang w:val="en-US" w:eastAsia="zh-CN"/>
          <w14:textOutline w14:w="5094" w14:cap="flat" w14:cmpd="sng">
            <w14:solidFill>
              <w14:srgbClr w14:val="000000"/>
            </w14:solidFill>
            <w14:prstDash w14:val="solid"/>
            <w14:miter w14:val="0"/>
          </w14:textOutline>
        </w:rPr>
        <w:t xml:space="preserve"> </w:t>
      </w:r>
      <w:r>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t>河流水系</w:t>
      </w:r>
      <w:bookmarkEnd w:id="38"/>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全县属红河流域泸江水系，主要河流有盘龙河、畴阳河、猛硐河、昆脑河、八布河、八斗河、铜厂河、南利河共8条。</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lang w:eastAsia="zh-CN"/>
        </w:rPr>
      </w:pPr>
      <w:r>
        <w:rPr>
          <w:rFonts w:hint="eastAsia" w:ascii="宋体" w:hAnsi="宋体" w:eastAsia="宋体" w:cs="宋体"/>
          <w:spacing w:val="0"/>
          <w:sz w:val="32"/>
          <w:szCs w:val="32"/>
        </w:rPr>
        <w:t>1、盘龙河</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发源于红河州蒙自县三道沟，海拔1910m，自西北向东南流向。河流流经砚山、文山、马关、西畴、麻栗坡五县，于天保船头进入越南，交泸江汇入红河。盘龙河在国内径流面积为6497km²</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其中红河州82km²</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文山州6415km²</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境内河长247.1km</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落差1803m，河道平均坡降7.3‰，多年平均径流量26.3亿m³</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自上而下主要支流有岔河</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德厚河、马过河、暮底河</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镰刀湾暗河、布都河、白石岩暗河、九股水暗河、鱼塘暗河、畴阳河、猛洞河等。麻栗坡县境内盘龙河流域面积1087km²</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多年平均径流量7.14亿m³</w:t>
      </w:r>
      <w:r>
        <w:rPr>
          <w:rFonts w:hint="eastAsia" w:ascii="宋体" w:hAnsi="宋体" w:eastAsia="宋体" w:cs="宋体"/>
          <w:spacing w:val="0"/>
          <w:sz w:val="32"/>
          <w:szCs w:val="32"/>
          <w:lang w:eastAsia="zh-CN"/>
        </w:rPr>
        <w:t>。</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2、畴阳河</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属盘龙河一级支流，发源于西畴县西洒镇疯龙潭泉流</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大体呈北西—南东流向，在本县下胡田村汇入盘龙河。该河在我县境内长31.57公里，落差598米，流域面积219.6平方公里。</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lang w:eastAsia="zh-CN"/>
        </w:rPr>
      </w:pPr>
      <w:r>
        <w:rPr>
          <w:rFonts w:hint="eastAsia" w:ascii="宋体" w:hAnsi="宋体" w:eastAsia="宋体" w:cs="宋体"/>
          <w:spacing w:val="0"/>
          <w:sz w:val="32"/>
          <w:szCs w:val="32"/>
        </w:rPr>
        <w:t>3</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猛硐河</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盘龙河一级支流，发源于猛硐上阳坡村，在达比河村处汇入盘龙河，全长23.54公里，落差950米，流域面积117.3平方公里</w:t>
      </w:r>
      <w:r>
        <w:rPr>
          <w:rFonts w:hint="eastAsia" w:ascii="宋体" w:hAnsi="宋体" w:eastAsia="宋体" w:cs="宋体"/>
          <w:spacing w:val="0"/>
          <w:sz w:val="32"/>
          <w:szCs w:val="32"/>
          <w:lang w:eastAsia="zh-CN"/>
        </w:rPr>
        <w:t>。</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4、八布河</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发源于西畴县三岔河，呈</w:t>
      </w:r>
      <w:r>
        <w:rPr>
          <w:rFonts w:hint="eastAsia" w:ascii="宋体" w:hAnsi="宋体" w:eastAsia="宋体" w:cs="宋体"/>
          <w:color w:val="auto"/>
          <w:spacing w:val="0"/>
          <w:sz w:val="32"/>
          <w:szCs w:val="32"/>
        </w:rPr>
        <w:t>北西</w:t>
      </w:r>
      <w:r>
        <w:rPr>
          <w:rFonts w:hint="eastAsia" w:ascii="宋体" w:hAnsi="宋体" w:eastAsia="宋体" w:cs="宋体"/>
          <w:spacing w:val="0"/>
          <w:sz w:val="32"/>
          <w:szCs w:val="32"/>
        </w:rPr>
        <w:t>走向进入麻栗坡县，流经八布街后至达干村附近出境，进入越南后称棉河。境内面积1271km²</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河长59.1km</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落差1160m，河流平均坡降19.6‰，多年平均径流量9.95亿m³。麻栗坡县境内八布河流域面积759km²</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多年平均径流量5.94亿m³。</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lang w:eastAsia="zh-CN"/>
        </w:rPr>
      </w:pPr>
      <w:r>
        <w:rPr>
          <w:rFonts w:hint="eastAsia" w:ascii="宋体" w:hAnsi="宋体" w:eastAsia="宋体" w:cs="宋体"/>
          <w:spacing w:val="0"/>
          <w:sz w:val="32"/>
          <w:szCs w:val="32"/>
        </w:rPr>
        <w:t>5、八斗河</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属八布河一级支流，发源于西畴县董马乡，在八布坝光村汇入八布河。河长22.8公里，落差377米，流域面积499平方公里</w:t>
      </w:r>
      <w:r>
        <w:rPr>
          <w:rFonts w:hint="eastAsia" w:ascii="宋体" w:hAnsi="宋体" w:eastAsia="宋体" w:cs="宋体"/>
          <w:spacing w:val="0"/>
          <w:sz w:val="32"/>
          <w:szCs w:val="32"/>
          <w:lang w:eastAsia="zh-CN"/>
        </w:rPr>
        <w:t>。</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6、铜厂河</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属八布河一级支流，发源于杨万偏榔村，在八布农场处汇入八布河，河长19.7公里，落差484米，流域面积为107.8平方公里。</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lang w:eastAsia="zh-CN"/>
        </w:rPr>
      </w:pPr>
      <w:r>
        <w:rPr>
          <w:rFonts w:hint="eastAsia" w:ascii="宋体" w:hAnsi="宋体" w:eastAsia="宋体" w:cs="宋体"/>
          <w:spacing w:val="0"/>
          <w:sz w:val="32"/>
          <w:szCs w:val="32"/>
        </w:rPr>
        <w:t>7、南利河</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发源于砚山县八嘎乡龙所街水头寨，流经西畴县鸡街后与贵马河支流交汇，以上称鸡街河或董金河，以下称南利河，流域呈西～东流向，经砚山、西畴、广南、麻栗坡、富宁等五县后进入越南，称儒桂河，交泸江。文山州境内径流面积3638km²</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河长173km</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界河长15.2km，落差1045m，平均坡降6.04‰，多年平均径流量18.9亿m³</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主要支流有贵马河、马白河、者鲁河、黑支果河、普阳暗河等。麻栗坡县境内南利河流域面积443km²</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多年平均径流量3.99亿m³</w:t>
      </w:r>
      <w:r>
        <w:rPr>
          <w:rFonts w:hint="eastAsia" w:ascii="宋体" w:hAnsi="宋体" w:eastAsia="宋体" w:cs="宋体"/>
          <w:spacing w:val="0"/>
          <w:sz w:val="32"/>
          <w:szCs w:val="32"/>
          <w:lang w:eastAsia="zh-CN"/>
        </w:rPr>
        <w:t>。</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8、昆脑河</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发源于猛硐野猪塘村，在马关花山村处汇入南江河，流出国境，注入越南。河长10.9公里，落差932米，流域面积50.7平方公里。</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2"/>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pPr>
      <w:bookmarkStart w:id="39" w:name="_Toc25324_WPSOffice_Level3"/>
      <w:r>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t>1.1.3区域地质</w:t>
      </w:r>
      <w:bookmarkEnd w:id="39"/>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测区位于云贵高原南缘斜坡地带，为滇东喀斯特高原滇东南岩溶山原亚区，总体地势具有北高南低、东高西低的特点。测区主要由碳酸盐岩和碎屑岩（包括火成岩）组成，地形地貌较为复杂，地貌类型主要为构造侵蚀低中山峡谷地貌和岩溶地貌。出露地层主要为泥盆系（D）、石炭系（C）、二叠系（P）和三叠系（T）以及第四系（Q）。</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lang w:eastAsia="zh-CN"/>
        </w:rPr>
      </w:pPr>
      <w:r>
        <w:rPr>
          <w:rFonts w:hint="eastAsia" w:ascii="宋体" w:hAnsi="宋体" w:eastAsia="宋体" w:cs="宋体"/>
          <w:spacing w:val="0"/>
          <w:sz w:val="32"/>
          <w:szCs w:val="32"/>
        </w:rPr>
        <w:t>本区在大地构造上位于南岭纬向构造体系的西端，黔桂经向构造带的西南缘，藏滇“歹”字型构造体系东部东支的东侧。受区域构造的影响，区内构造主要表现为东西向构造和滇越巨型旋扭构造，代表性构造主要有者荡断裂（F1）、大扣龙断裂（F2）和龙树断裂（F3）</w:t>
      </w:r>
      <w:r>
        <w:rPr>
          <w:rFonts w:hint="eastAsia" w:ascii="宋体" w:hAnsi="宋体" w:eastAsia="宋体" w:cs="宋体"/>
          <w:spacing w:val="0"/>
          <w:sz w:val="32"/>
          <w:szCs w:val="32"/>
          <w:lang w:eastAsia="zh-CN"/>
        </w:rPr>
        <w:t>。</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根据国家质量技术监督局2001年出版的1:400万《中国地震动参数区划图（GB18306～2001）》</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工程区地震动峰值加速度为0.05g</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地震动反应谱特征周期为0.35s</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相应的地震基本烈度为Ⅵ度。</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2"/>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pPr>
      <w:bookmarkStart w:id="40" w:name="_Toc4952_WPSOffice_Level3"/>
      <w:r>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t>1.1.4社会经济</w:t>
      </w:r>
      <w:bookmarkEnd w:id="40"/>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1、行政区划及人口</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color w:val="auto"/>
          <w:spacing w:val="0"/>
          <w:sz w:val="32"/>
          <w:szCs w:val="32"/>
          <w:highlight w:val="none"/>
          <w:lang w:val="en-US" w:eastAsia="zh-CN"/>
        </w:rPr>
      </w:pPr>
      <w:r>
        <w:rPr>
          <w:rFonts w:hint="eastAsia" w:ascii="宋体" w:hAnsi="宋体" w:eastAsia="宋体" w:cs="宋体"/>
          <w:color w:val="auto"/>
          <w:spacing w:val="0"/>
          <w:sz w:val="32"/>
          <w:szCs w:val="32"/>
          <w:highlight w:val="none"/>
        </w:rPr>
        <w:t>麻栗坡县辖4个镇、7个乡，境内居住着汉、苗、壮、瑶、彝、傣、蒙古、仡佬8个主要民族。2018年，全县年末总人口24</w:t>
      </w:r>
      <w:r>
        <w:rPr>
          <w:rFonts w:hint="eastAsia" w:ascii="宋体" w:hAnsi="宋体" w:eastAsia="宋体" w:cs="宋体"/>
          <w:color w:val="auto"/>
          <w:spacing w:val="0"/>
          <w:sz w:val="32"/>
          <w:szCs w:val="32"/>
          <w:highlight w:val="none"/>
          <w:lang w:val="en-US" w:eastAsia="zh-CN"/>
        </w:rPr>
        <w:t>.</w:t>
      </w:r>
      <w:r>
        <w:rPr>
          <w:rFonts w:hint="eastAsia" w:ascii="宋体" w:hAnsi="宋体" w:eastAsia="宋体" w:cs="宋体"/>
          <w:color w:val="auto"/>
          <w:spacing w:val="0"/>
          <w:sz w:val="32"/>
          <w:szCs w:val="32"/>
          <w:highlight w:val="none"/>
        </w:rPr>
        <w:t>5874万人，人口出生率12.86‰，人口死亡率6.07‰，人口自然增长率6.79‰。</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lang w:val="en-US" w:eastAsia="zh-CN"/>
        </w:rPr>
        <w:t>2、</w:t>
      </w:r>
      <w:r>
        <w:rPr>
          <w:rFonts w:hint="eastAsia" w:ascii="宋体" w:hAnsi="宋体" w:eastAsia="宋体" w:cs="宋体"/>
          <w:color w:val="auto"/>
          <w:spacing w:val="0"/>
          <w:sz w:val="32"/>
          <w:szCs w:val="32"/>
          <w:highlight w:val="none"/>
        </w:rPr>
        <w:t>国民经济</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2018年，麻栗坡县实现地区生产总值（GDP）59亿元，其中：第一产业增加值11.7亿元；第二产业增加值23.09亿元，其中工业增加值15.14亿元；第三产业增加值24.21亿元。人均GDP为20600元。</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2"/>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pPr>
      <w:bookmarkStart w:id="41" w:name="_Toc30318_WPSOffice_Level3"/>
      <w:r>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t>1.1.5自然资源</w:t>
      </w:r>
      <w:bookmarkEnd w:id="41"/>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1、生物资源</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麻栗坡县内生物资源极为丰富，有植物330余种，水、陆野生动物120余种。县境内被列为国家一级保护植物有红豆杉、云南穗花杉、银杏、伯乐树、长蕊、木兰、藤枣、异形玉叶金花等10多种珍稀植物</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二级保护植物有苏铁蕨、桫椤、秃杉、红椿等36种。野生动物品种繁多。主要有豹、黑熊、岩羊、猴、蟒蛇、眼镜蛇、鳄鱼以及各种鸟类</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昆虫类和水生动物。其中：国家一类保护动物有蜂猴、鳞虫；国家二类保护动物有金钱豹、黑熊、蟒蛇、眼镜蛇、红原鸡等30多种。</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2、矿产资源</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麻栗坡县矿产资源丰富，矿种多样。目前，已探明的38个固体矿产中，黑色金属有铁、铬、锰</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有色金属有锡、钨、缶、锌、钴、镍</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镁、锑、汞；贵金属有金、银；稀有金属有钽、铌、铍；稀土元素有镓；化工原料非金属有硫、砷、重晶石、刚玉、云母、石棉、高岭土</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水晶、硅石、电气石、冰洲石、粘土、天然油石、绿柱石（部分可达到宝石级即祖母绿）；燃料矿产有煤。其中：锡矿床（点）28处，地质品位0.4%，累计地质储量5455万kg</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钨矿床（点）23处，平均地质品位0.45%以上，累计地质储量6000万kg。其他矿种地质储量93亿kg。</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3、水资源</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全县多年平均径流深731mm，水资源较丰富，全年降水量33.76亿立方米，河川径流17亿立方米，占年降水量的52.2%，入境水量28.43亿立方米，地下径流总量5.57亿立方米。全县水资源总量为51亿立方米，出境水量45.5亿立方米。水资源虽然丰富，但岩溶发育，水低田地高，加之水利设施不完善，水利化程度低，致使水资源利用难度大</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利用率低。</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1"/>
        <w:rPr>
          <w:rFonts w:hint="eastAsia" w:ascii="宋体" w:hAnsi="宋体" w:eastAsia="宋体" w:cs="宋体"/>
          <w:b/>
          <w:bCs/>
          <w:spacing w:val="0"/>
          <w:sz w:val="40"/>
          <w:szCs w:val="40"/>
          <w:lang w:val="en-US" w:eastAsia="zh-CN"/>
        </w:rPr>
      </w:pPr>
      <w:bookmarkStart w:id="42" w:name="bookmark4"/>
      <w:bookmarkEnd w:id="42"/>
      <w:bookmarkStart w:id="43" w:name="_Toc8675_WPSOffice_Level2"/>
      <w:bookmarkStart w:id="44" w:name="_Toc20938_WPSOffice_Level2"/>
      <w:r>
        <w:rPr>
          <w:rFonts w:hint="eastAsia" w:ascii="宋体" w:hAnsi="宋体" w:eastAsia="宋体" w:cs="宋体"/>
          <w:b/>
          <w:bCs/>
          <w:spacing w:val="0"/>
          <w:sz w:val="40"/>
          <w:szCs w:val="40"/>
          <w:lang w:val="en-US" w:eastAsia="zh-CN"/>
        </w:rPr>
        <w:t>1.2 “十三五”成效</w:t>
      </w:r>
      <w:bookmarkEnd w:id="43"/>
      <w:bookmarkEnd w:id="44"/>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2"/>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pPr>
      <w:bookmarkStart w:id="45" w:name="_Toc16583_WPSOffice_Level3"/>
      <w:r>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t>1.2.</w:t>
      </w:r>
      <w:r>
        <w:rPr>
          <w:rFonts w:hint="eastAsia" w:ascii="宋体" w:hAnsi="宋体" w:eastAsia="宋体" w:cs="宋体"/>
          <w:b/>
          <w:bCs/>
          <w:spacing w:val="0"/>
          <w:sz w:val="40"/>
          <w:szCs w:val="40"/>
          <w:lang w:val="en-US" w:eastAsia="zh-CN"/>
          <w14:textOutline w14:w="5094" w14:cap="flat" w14:cmpd="sng">
            <w14:solidFill>
              <w14:srgbClr w14:val="000000"/>
            </w14:solidFill>
            <w14:prstDash w14:val="solid"/>
            <w14:miter w14:val="0"/>
          </w14:textOutline>
        </w:rPr>
        <w:t>1</w:t>
      </w:r>
      <w:r>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t>集中供水率</w:t>
      </w:r>
      <w:bookmarkEnd w:id="45"/>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lang w:eastAsia="zh-CN"/>
        </w:rPr>
        <w:t>截至</w:t>
      </w:r>
      <w:r>
        <w:rPr>
          <w:rFonts w:hint="eastAsia" w:ascii="宋体" w:hAnsi="宋体" w:eastAsia="宋体" w:cs="宋体"/>
          <w:color w:val="auto"/>
          <w:spacing w:val="0"/>
          <w:sz w:val="32"/>
          <w:szCs w:val="32"/>
          <w:highlight w:val="none"/>
        </w:rPr>
        <w:t>2020年底，麻栗坡县共有农村集中供水工程624件，受益人口253715人，其中分散供水工程（集雨工程、水窖、引泉工程）受益人口48486人，集中供水率80.88%，本次麻栗坡县“十四五”农村供水保障规划在此基础上，通过新建一批规模化供水工程，提高片区供水能力，增加集中供水率，实现全县农村集中供水率达到90%以上。</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2"/>
        <w:rPr>
          <w:rFonts w:hint="eastAsia" w:ascii="宋体" w:hAnsi="宋体" w:eastAsia="宋体" w:cs="宋体"/>
          <w:b/>
          <w:bCs/>
          <w:color w:val="auto"/>
          <w:spacing w:val="0"/>
          <w:sz w:val="40"/>
          <w:szCs w:val="40"/>
          <w:highlight w:val="none"/>
          <w14:textOutline w14:w="5094" w14:cap="flat" w14:cmpd="sng">
            <w14:solidFill>
              <w14:srgbClr w14:val="000000"/>
            </w14:solidFill>
            <w14:prstDash w14:val="solid"/>
            <w14:miter w14:val="0"/>
          </w14:textOutline>
        </w:rPr>
      </w:pPr>
      <w:bookmarkStart w:id="46" w:name="_Toc2249_WPSOffice_Level3"/>
      <w:r>
        <w:rPr>
          <w:rFonts w:hint="eastAsia" w:ascii="宋体" w:hAnsi="宋体" w:eastAsia="宋体" w:cs="宋体"/>
          <w:b/>
          <w:bCs/>
          <w:color w:val="auto"/>
          <w:spacing w:val="0"/>
          <w:sz w:val="40"/>
          <w:szCs w:val="40"/>
          <w:highlight w:val="none"/>
          <w14:textOutline w14:w="5094" w14:cap="flat" w14:cmpd="sng">
            <w14:solidFill>
              <w14:srgbClr w14:val="000000"/>
            </w14:solidFill>
            <w14:prstDash w14:val="solid"/>
            <w14:miter w14:val="0"/>
          </w14:textOutline>
        </w:rPr>
        <w:t>1.2.</w:t>
      </w:r>
      <w:r>
        <w:rPr>
          <w:rFonts w:hint="eastAsia" w:ascii="宋体" w:hAnsi="宋体" w:eastAsia="宋体" w:cs="宋体"/>
          <w:b/>
          <w:bCs/>
          <w:color w:val="auto"/>
          <w:spacing w:val="0"/>
          <w:sz w:val="40"/>
          <w:szCs w:val="40"/>
          <w:highlight w:val="none"/>
          <w:lang w:val="en-US" w:eastAsia="zh-CN"/>
          <w14:textOutline w14:w="5094" w14:cap="flat" w14:cmpd="sng">
            <w14:solidFill>
              <w14:srgbClr w14:val="000000"/>
            </w14:solidFill>
            <w14:prstDash w14:val="solid"/>
            <w14:miter w14:val="0"/>
          </w14:textOutline>
        </w:rPr>
        <w:t>2</w:t>
      </w:r>
      <w:r>
        <w:rPr>
          <w:rFonts w:hint="eastAsia" w:ascii="宋体" w:hAnsi="宋体" w:eastAsia="宋体" w:cs="宋体"/>
          <w:b/>
          <w:bCs/>
          <w:color w:val="auto"/>
          <w:spacing w:val="0"/>
          <w:sz w:val="40"/>
          <w:szCs w:val="40"/>
          <w:highlight w:val="none"/>
          <w14:textOutline w14:w="5094" w14:cap="flat" w14:cmpd="sng">
            <w14:solidFill>
              <w14:srgbClr w14:val="000000"/>
            </w14:solidFill>
            <w14:prstDash w14:val="solid"/>
            <w14:miter w14:val="0"/>
          </w14:textOutline>
        </w:rPr>
        <w:t>自来水普及率</w:t>
      </w:r>
      <w:bookmarkEnd w:id="46"/>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lang w:eastAsia="zh-CN"/>
        </w:rPr>
        <w:t>截至</w:t>
      </w:r>
      <w:r>
        <w:rPr>
          <w:rFonts w:hint="eastAsia" w:ascii="宋体" w:hAnsi="宋体" w:eastAsia="宋体" w:cs="宋体"/>
          <w:color w:val="auto"/>
          <w:spacing w:val="0"/>
          <w:sz w:val="32"/>
          <w:szCs w:val="32"/>
          <w:highlight w:val="none"/>
        </w:rPr>
        <w:t>2020年底，全县农村自来水普及率为80.88%左右，本次“十四五”农村供水规划，通过新建、改造一批集中供水工程，分片区供水，提高全县农村自来水普及率，对建设年限较长且管网漏损率较高的管网，原则上进行更新改造管网，推行农村供水“一户一表”，提高全县农村供水自来水普及率，实现自来水普及率达到85%以上。</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2"/>
        <w:rPr>
          <w:rFonts w:hint="eastAsia" w:ascii="宋体" w:hAnsi="宋体" w:eastAsia="宋体" w:cs="宋体"/>
          <w:b/>
          <w:bCs/>
          <w:color w:val="auto"/>
          <w:spacing w:val="0"/>
          <w:sz w:val="40"/>
          <w:szCs w:val="40"/>
          <w:highlight w:val="none"/>
          <w14:textOutline w14:w="5094" w14:cap="flat" w14:cmpd="sng">
            <w14:solidFill>
              <w14:srgbClr w14:val="000000"/>
            </w14:solidFill>
            <w14:prstDash w14:val="solid"/>
            <w14:miter w14:val="0"/>
          </w14:textOutline>
        </w:rPr>
      </w:pPr>
      <w:bookmarkStart w:id="47" w:name="_Toc26961_WPSOffice_Level3"/>
      <w:r>
        <w:rPr>
          <w:rFonts w:hint="eastAsia" w:ascii="宋体" w:hAnsi="宋体" w:eastAsia="宋体" w:cs="宋体"/>
          <w:b/>
          <w:bCs/>
          <w:color w:val="auto"/>
          <w:spacing w:val="0"/>
          <w:sz w:val="40"/>
          <w:szCs w:val="40"/>
          <w:highlight w:val="none"/>
          <w14:textOutline w14:w="5094" w14:cap="flat" w14:cmpd="sng">
            <w14:solidFill>
              <w14:srgbClr w14:val="000000"/>
            </w14:solidFill>
            <w14:prstDash w14:val="solid"/>
            <w14:miter w14:val="0"/>
          </w14:textOutline>
        </w:rPr>
        <w:t>1.2.</w:t>
      </w:r>
      <w:r>
        <w:rPr>
          <w:rFonts w:hint="eastAsia" w:ascii="宋体" w:hAnsi="宋体" w:eastAsia="宋体" w:cs="宋体"/>
          <w:b/>
          <w:bCs/>
          <w:color w:val="auto"/>
          <w:spacing w:val="0"/>
          <w:sz w:val="40"/>
          <w:szCs w:val="40"/>
          <w:highlight w:val="none"/>
          <w:lang w:val="en-US" w:eastAsia="zh-CN"/>
          <w14:textOutline w14:w="5094" w14:cap="flat" w14:cmpd="sng">
            <w14:solidFill>
              <w14:srgbClr w14:val="000000"/>
            </w14:solidFill>
            <w14:prstDash w14:val="solid"/>
            <w14:miter w14:val="0"/>
          </w14:textOutline>
        </w:rPr>
        <w:t>3</w:t>
      </w:r>
      <w:r>
        <w:rPr>
          <w:rFonts w:hint="eastAsia" w:ascii="宋体" w:hAnsi="宋体" w:eastAsia="宋体" w:cs="宋体"/>
          <w:b/>
          <w:bCs/>
          <w:color w:val="auto"/>
          <w:spacing w:val="0"/>
          <w:sz w:val="40"/>
          <w:szCs w:val="40"/>
          <w:highlight w:val="none"/>
          <w14:textOutline w14:w="5094" w14:cap="flat" w14:cmpd="sng">
            <w14:solidFill>
              <w14:srgbClr w14:val="000000"/>
            </w14:solidFill>
            <w14:prstDash w14:val="solid"/>
            <w14:miter w14:val="0"/>
          </w14:textOutline>
        </w:rPr>
        <w:t>供水保证率</w:t>
      </w:r>
      <w:bookmarkEnd w:id="47"/>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lang w:eastAsia="zh-CN"/>
        </w:rPr>
        <w:t>截至</w:t>
      </w:r>
      <w:r>
        <w:rPr>
          <w:rFonts w:hint="eastAsia" w:ascii="宋体" w:hAnsi="宋体" w:eastAsia="宋体" w:cs="宋体"/>
          <w:color w:val="auto"/>
          <w:spacing w:val="0"/>
          <w:sz w:val="32"/>
          <w:szCs w:val="32"/>
          <w:highlight w:val="none"/>
        </w:rPr>
        <w:t>2020年底，麻栗坡县全县已建农村供水工程已全面覆盖全县农村人口，但遇到干旱年份，大部分农村供水工程处于无水可供状态</w:t>
      </w: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本次“十四五”农村供水保障规划，在水源条件具备的地区，因地制宜建设一批小型水源工程（小坝塘、小水池等），或通过合同连通已建水源工程，提高全县农村供水保证率。</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2"/>
        <w:rPr>
          <w:rFonts w:hint="eastAsia" w:ascii="宋体" w:hAnsi="宋体" w:eastAsia="宋体" w:cs="宋体"/>
          <w:b/>
          <w:bCs/>
          <w:color w:val="auto"/>
          <w:spacing w:val="0"/>
          <w:sz w:val="40"/>
          <w:szCs w:val="40"/>
          <w:highlight w:val="none"/>
          <w14:textOutline w14:w="5094" w14:cap="flat" w14:cmpd="sng">
            <w14:solidFill>
              <w14:srgbClr w14:val="000000"/>
            </w14:solidFill>
            <w14:prstDash w14:val="solid"/>
            <w14:miter w14:val="0"/>
          </w14:textOutline>
        </w:rPr>
      </w:pPr>
      <w:bookmarkStart w:id="48" w:name="_Toc28734_WPSOffice_Level3"/>
      <w:r>
        <w:rPr>
          <w:rFonts w:hint="eastAsia" w:ascii="宋体" w:hAnsi="宋体" w:eastAsia="宋体" w:cs="宋体"/>
          <w:b/>
          <w:bCs/>
          <w:color w:val="auto"/>
          <w:spacing w:val="0"/>
          <w:sz w:val="40"/>
          <w:szCs w:val="40"/>
          <w:highlight w:val="none"/>
          <w14:textOutline w14:w="5094" w14:cap="flat" w14:cmpd="sng">
            <w14:solidFill>
              <w14:srgbClr w14:val="000000"/>
            </w14:solidFill>
            <w14:prstDash w14:val="solid"/>
            <w14:miter w14:val="0"/>
          </w14:textOutline>
        </w:rPr>
        <w:t>1.2.</w:t>
      </w:r>
      <w:r>
        <w:rPr>
          <w:rFonts w:hint="eastAsia" w:ascii="宋体" w:hAnsi="宋体" w:eastAsia="宋体" w:cs="宋体"/>
          <w:b/>
          <w:bCs/>
          <w:color w:val="auto"/>
          <w:spacing w:val="0"/>
          <w:sz w:val="40"/>
          <w:szCs w:val="40"/>
          <w:highlight w:val="none"/>
          <w:lang w:val="en-US" w:eastAsia="zh-CN"/>
          <w14:textOutline w14:w="5094" w14:cap="flat" w14:cmpd="sng">
            <w14:solidFill>
              <w14:srgbClr w14:val="000000"/>
            </w14:solidFill>
            <w14:prstDash w14:val="solid"/>
            <w14:miter w14:val="0"/>
          </w14:textOutline>
        </w:rPr>
        <w:t>4</w:t>
      </w:r>
      <w:r>
        <w:rPr>
          <w:rFonts w:hint="eastAsia" w:ascii="宋体" w:hAnsi="宋体" w:eastAsia="宋体" w:cs="宋体"/>
          <w:b/>
          <w:bCs/>
          <w:color w:val="auto"/>
          <w:spacing w:val="0"/>
          <w:sz w:val="40"/>
          <w:szCs w:val="40"/>
          <w:highlight w:val="none"/>
          <w14:textOutline w14:w="5094" w14:cap="flat" w14:cmpd="sng">
            <w14:solidFill>
              <w14:srgbClr w14:val="000000"/>
            </w14:solidFill>
            <w14:prstDash w14:val="solid"/>
            <w14:miter w14:val="0"/>
          </w14:textOutline>
        </w:rPr>
        <w:t>水质达标率</w:t>
      </w:r>
      <w:bookmarkEnd w:id="48"/>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麻栗坡县农村饮水工程水源水质多属Ⅱ类、Ⅲ类、Ⅳ类水，大部分饮水工程均未配备水处理设备，水质达标率较低。</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color w:val="FF0000"/>
          <w:spacing w:val="0"/>
          <w:sz w:val="32"/>
          <w:szCs w:val="32"/>
          <w:highlight w:val="yellow"/>
        </w:rPr>
      </w:pPr>
      <w:r>
        <w:rPr>
          <w:rFonts w:hint="eastAsia" w:ascii="宋体" w:hAnsi="宋体" w:eastAsia="宋体" w:cs="宋体"/>
          <w:color w:val="auto"/>
          <w:spacing w:val="0"/>
          <w:sz w:val="32"/>
          <w:szCs w:val="32"/>
          <w:highlight w:val="none"/>
        </w:rPr>
        <w:t>为确保麻栗坡县农村供水工程实施后，水质达标率超过全国平均水平，本次麻栗坡县“十四五”农村供水保障规划一是大力发展规模化水厂，二是对单村饮水工程尽可能</w:t>
      </w:r>
      <w:r>
        <w:rPr>
          <w:rFonts w:hint="eastAsia" w:ascii="宋体" w:hAnsi="宋体" w:eastAsia="宋体" w:cs="宋体"/>
          <w:color w:val="auto"/>
          <w:spacing w:val="0"/>
          <w:sz w:val="32"/>
          <w:szCs w:val="32"/>
          <w:highlight w:val="none"/>
          <w:lang w:val="en-US" w:eastAsia="zh-CN"/>
        </w:rPr>
        <w:t>地</w:t>
      </w:r>
      <w:r>
        <w:rPr>
          <w:rFonts w:hint="eastAsia" w:ascii="宋体" w:hAnsi="宋体" w:eastAsia="宋体" w:cs="宋体"/>
          <w:color w:val="auto"/>
          <w:spacing w:val="0"/>
          <w:sz w:val="32"/>
          <w:szCs w:val="32"/>
          <w:highlight w:val="none"/>
        </w:rPr>
        <w:t>配置消毒设备，三是大力宣传加强农村居民安全饮用水意识，四是建设规模化水厂水质化验室，对饮水工程水质检测，确保每处饮水安全得到科学合理</w:t>
      </w:r>
      <w:r>
        <w:rPr>
          <w:rFonts w:hint="eastAsia" w:ascii="宋体" w:hAnsi="宋体" w:eastAsia="宋体" w:cs="宋体"/>
          <w:color w:val="auto"/>
          <w:spacing w:val="0"/>
          <w:sz w:val="32"/>
          <w:szCs w:val="32"/>
          <w:highlight w:val="none"/>
          <w:lang w:eastAsia="zh-CN"/>
        </w:rPr>
        <w:t>地</w:t>
      </w:r>
      <w:r>
        <w:rPr>
          <w:rFonts w:hint="eastAsia" w:ascii="宋体" w:hAnsi="宋体" w:eastAsia="宋体" w:cs="宋体"/>
          <w:color w:val="auto"/>
          <w:spacing w:val="0"/>
          <w:sz w:val="32"/>
          <w:szCs w:val="32"/>
          <w:highlight w:val="none"/>
        </w:rPr>
        <w:t>消毒。使麻栗坡县农村饮水工程水质全面提升。</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2"/>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pPr>
      <w:bookmarkStart w:id="49" w:name="_Toc11101_WPSOffice_Level3"/>
      <w:r>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t>1.2.</w:t>
      </w:r>
      <w:r>
        <w:rPr>
          <w:rFonts w:hint="eastAsia" w:ascii="宋体" w:hAnsi="宋体" w:eastAsia="宋体" w:cs="宋体"/>
          <w:b/>
          <w:bCs/>
          <w:spacing w:val="0"/>
          <w:sz w:val="40"/>
          <w:szCs w:val="40"/>
          <w:lang w:val="en-US" w:eastAsia="zh-CN"/>
          <w14:textOutline w14:w="5094" w14:cap="flat" w14:cmpd="sng">
            <w14:solidFill>
              <w14:srgbClr w14:val="000000"/>
            </w14:solidFill>
            <w14:prstDash w14:val="solid"/>
            <w14:miter w14:val="0"/>
          </w14:textOutline>
        </w:rPr>
        <w:t>5</w:t>
      </w:r>
      <w:r>
        <w:rPr>
          <w:rFonts w:hint="eastAsia" w:ascii="宋体" w:hAnsi="宋体" w:eastAsia="宋体" w:cs="宋体"/>
          <w:b/>
          <w:bCs/>
          <w:spacing w:val="0"/>
          <w:sz w:val="40"/>
          <w:szCs w:val="40"/>
          <w14:textOutline w14:w="5094" w14:cap="flat" w14:cmpd="sng">
            <w14:solidFill>
              <w14:srgbClr w14:val="000000"/>
            </w14:solidFill>
            <w14:prstDash w14:val="solid"/>
            <w14:miter w14:val="0"/>
          </w14:textOutline>
        </w:rPr>
        <w:t>工程运行管理</w:t>
      </w:r>
      <w:bookmarkEnd w:id="49"/>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麻栗坡县农村饮水工程主要是由县水利工程综合服务管理站、乡镇水管理站及受益村或用水户协会管理。县乡两级主要是对农村饮水工程运行监督管理，受益村或用水户协会直接管理、运营本村饮水工程，制定用水管理规章制度。</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1"/>
        <w:rPr>
          <w:rFonts w:hint="eastAsia" w:ascii="宋体" w:hAnsi="宋体" w:eastAsia="宋体" w:cs="宋体"/>
          <w:b/>
          <w:bCs/>
          <w:spacing w:val="0"/>
          <w:sz w:val="40"/>
          <w:szCs w:val="40"/>
        </w:rPr>
      </w:pPr>
      <w:bookmarkStart w:id="50" w:name="bookmark5"/>
      <w:bookmarkEnd w:id="50"/>
      <w:bookmarkStart w:id="51" w:name="_Toc20030_WPSOffice_Level2"/>
      <w:bookmarkStart w:id="52" w:name="_Toc25324_WPSOffice_Level2"/>
      <w:r>
        <w:rPr>
          <w:rFonts w:hint="eastAsia" w:ascii="宋体" w:hAnsi="宋体" w:eastAsia="宋体" w:cs="宋体"/>
          <w:b/>
          <w:bCs/>
          <w:spacing w:val="0"/>
          <w:sz w:val="40"/>
          <w:szCs w:val="40"/>
        </w:rPr>
        <w:t>1.3存在主要问题</w:t>
      </w:r>
      <w:bookmarkEnd w:id="51"/>
      <w:bookmarkEnd w:id="52"/>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lang w:eastAsia="zh-CN"/>
        </w:rPr>
      </w:pPr>
      <w:bookmarkStart w:id="53" w:name="_Toc28159_WPSOffice_Level3"/>
      <w:r>
        <w:rPr>
          <w:rFonts w:hint="eastAsia" w:ascii="宋体" w:hAnsi="宋体" w:eastAsia="宋体" w:cs="宋体"/>
          <w:spacing w:val="0"/>
          <w:sz w:val="32"/>
          <w:szCs w:val="32"/>
        </w:rPr>
        <w:t>1、水源保障能力较弱</w:t>
      </w:r>
      <w:r>
        <w:rPr>
          <w:rFonts w:hint="eastAsia" w:ascii="宋体" w:hAnsi="宋体" w:eastAsia="宋体" w:cs="宋体"/>
          <w:spacing w:val="0"/>
          <w:sz w:val="32"/>
          <w:szCs w:val="32"/>
          <w:lang w:eastAsia="zh-CN"/>
        </w:rPr>
        <w:t>。</w:t>
      </w:r>
      <w:bookmarkEnd w:id="53"/>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由于受自然条件、20世纪60年代末的援越抗美战争和70年代末至90年代初的对越自卫还击作战等诸多因素制约，使麻栗坡的改革开放和经济社会发展比全国晚了整整14年，导致全县水利基础设施建设严重滞后，特别是骨干水源工程较少，水利投入严重不足已成为制约全县全面建成小康社会宏伟目标的主要问题。</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lang w:eastAsia="zh-CN"/>
        </w:rPr>
      </w:pPr>
      <w:bookmarkStart w:id="54" w:name="_Toc24329_WPSOffice_Level3"/>
      <w:r>
        <w:rPr>
          <w:rFonts w:hint="eastAsia" w:ascii="宋体" w:hAnsi="宋体" w:eastAsia="宋体" w:cs="宋体"/>
          <w:spacing w:val="0"/>
          <w:sz w:val="32"/>
          <w:szCs w:val="32"/>
        </w:rPr>
        <w:t>2、农村水利综合保障能力不足，工程设施</w:t>
      </w:r>
      <w:r>
        <w:rPr>
          <w:rFonts w:hint="eastAsia" w:ascii="宋体" w:hAnsi="宋体" w:eastAsia="宋体" w:cs="宋体"/>
          <w:spacing w:val="0"/>
          <w:sz w:val="32"/>
          <w:szCs w:val="32"/>
          <w:lang w:eastAsia="zh-CN"/>
        </w:rPr>
        <w:t>亟需</w:t>
      </w:r>
      <w:r>
        <w:rPr>
          <w:rFonts w:hint="eastAsia" w:ascii="宋体" w:hAnsi="宋体" w:eastAsia="宋体" w:cs="宋体"/>
          <w:spacing w:val="0"/>
          <w:sz w:val="32"/>
          <w:szCs w:val="32"/>
        </w:rPr>
        <w:t>更新改造</w:t>
      </w:r>
      <w:r>
        <w:rPr>
          <w:rFonts w:hint="eastAsia" w:ascii="宋体" w:hAnsi="宋体" w:eastAsia="宋体" w:cs="宋体"/>
          <w:spacing w:val="0"/>
          <w:sz w:val="32"/>
          <w:szCs w:val="32"/>
          <w:lang w:eastAsia="zh-CN"/>
        </w:rPr>
        <w:t>。</w:t>
      </w:r>
      <w:bookmarkEnd w:id="54"/>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麻栗坡县99.9%的面积为山区，耕地、人口、村寨分散，受地形地貌条件限制，大中型水源工程少，已有骨干水源工程配套差，加之，长期以来农村水利工程的投入难以满足生产、生活需要。</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lang w:eastAsia="zh-CN"/>
        </w:rPr>
      </w:pPr>
      <w:bookmarkStart w:id="55" w:name="_Toc25167_WPSOffice_Level3"/>
      <w:r>
        <w:rPr>
          <w:rFonts w:hint="eastAsia" w:ascii="宋体" w:hAnsi="宋体" w:eastAsia="宋体" w:cs="宋体"/>
          <w:spacing w:val="0"/>
          <w:sz w:val="32"/>
          <w:szCs w:val="32"/>
        </w:rPr>
        <w:t>3、水务管理能力相对薄弱，服务能力亟待加强</w:t>
      </w:r>
      <w:r>
        <w:rPr>
          <w:rFonts w:hint="eastAsia" w:ascii="宋体" w:hAnsi="宋体" w:eastAsia="宋体" w:cs="宋体"/>
          <w:spacing w:val="0"/>
          <w:sz w:val="32"/>
          <w:szCs w:val="32"/>
          <w:lang w:eastAsia="zh-CN"/>
        </w:rPr>
        <w:t>。</w:t>
      </w:r>
      <w:bookmarkEnd w:id="55"/>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麻栗坡县水务一体化框架初步形成，但体系不完善，与之相应的各项管理制度和运行机制尚不健全，最严格的水资源管理制度尚未建立。河湖严格管理尚未实现全覆盖，有效的河道“蓝线”管理体系尚未建立。基层水管单位服务能力不强，技术力量薄弱，职能到位率不高。全县范围内重建轻管、建而不管、人员断层、粗放管理等现象依然存在，水行政执法能力和行政许可后续管理能力还有待加强。基层水利工作薄弱，依然是水利可持续发展的突出问题。水务部门缺少专业技术干部的现象较严重，乡（镇）水务站建设和管理严重滞后，技术人员少、技术力量弱，办公条件较差，严重影响基层水利工作正常开展。</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lang w:eastAsia="zh-CN"/>
        </w:rPr>
      </w:pPr>
      <w:bookmarkStart w:id="56" w:name="_Toc4544_WPSOffice_Level3"/>
      <w:r>
        <w:rPr>
          <w:rFonts w:hint="eastAsia" w:ascii="宋体" w:hAnsi="宋体" w:eastAsia="宋体" w:cs="宋体"/>
          <w:spacing w:val="0"/>
          <w:sz w:val="32"/>
          <w:szCs w:val="32"/>
        </w:rPr>
        <w:t>4、水利投资渠道单一，水利发展保障能力不足</w:t>
      </w:r>
      <w:r>
        <w:rPr>
          <w:rFonts w:hint="eastAsia" w:ascii="宋体" w:hAnsi="宋体" w:eastAsia="宋体" w:cs="宋体"/>
          <w:spacing w:val="0"/>
          <w:sz w:val="32"/>
          <w:szCs w:val="32"/>
          <w:lang w:eastAsia="zh-CN"/>
        </w:rPr>
        <w:t>。</w:t>
      </w:r>
      <w:bookmarkEnd w:id="56"/>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水利投资渠道单一，依然是水利改革发展的突出障碍。水利建设主要依靠中央和省级财政，州、县财政大多无正常水利投入渠道，投资渠道单一；有效水价形成机制未建立，水利投融资困难。</w:t>
      </w:r>
      <w:r>
        <w:rPr>
          <w:rFonts w:hint="eastAsia" w:ascii="宋体" w:hAnsi="宋体" w:eastAsia="宋体" w:cs="宋体"/>
          <w:color w:val="auto"/>
          <w:spacing w:val="0"/>
          <w:sz w:val="32"/>
          <w:szCs w:val="32"/>
          <w:lang w:val="en-US" w:eastAsia="zh-CN"/>
        </w:rPr>
        <w:t>部分</w:t>
      </w:r>
      <w:r>
        <w:rPr>
          <w:rFonts w:hint="eastAsia" w:ascii="宋体" w:hAnsi="宋体" w:eastAsia="宋体" w:cs="宋体"/>
          <w:spacing w:val="0"/>
          <w:sz w:val="32"/>
          <w:szCs w:val="32"/>
        </w:rPr>
        <w:t>水利工程建设补助资金少，缺口资金大，给水利建设造成很大压力，远不能满足经济社会发展的需要。依法行政工作仍存在薄弱环节，水法规体系还需进一步健全，水行政执法工作和队伍建设亟待加强。水利投入仍显不足，稳定增长的水利投入、多渠道筹集水利资金的机制尚未全面形成，群众自主兴办水利的积极性不强，水利建设与管理所需资金尚未落实到位。基层站所技术人员缺乏，人才引进、补充困难。</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80" w:firstLineChars="200"/>
        <w:jc w:val="both"/>
        <w:textAlignment w:val="baseline"/>
        <w:outlineLvl w:val="9"/>
        <w:rPr>
          <w:rFonts w:hint="eastAsia" w:ascii="宋体" w:hAnsi="宋体" w:eastAsia="宋体" w:cs="宋体"/>
          <w:spacing w:val="0"/>
          <w:sz w:val="44"/>
          <w:szCs w:val="44"/>
          <w:lang w:val="en-US" w:eastAsia="zh-CN"/>
        </w:rPr>
      </w:pPr>
      <w:bookmarkStart w:id="57" w:name="bookmark7"/>
      <w:bookmarkEnd w:id="57"/>
      <w:bookmarkStart w:id="58" w:name="bookmark6"/>
      <w:bookmarkEnd w:id="58"/>
      <w:bookmarkStart w:id="59" w:name="_Toc30318_WPSOffice_Level1"/>
      <w:bookmarkStart w:id="60" w:name="_Toc20938_WPSOffice_Level1"/>
      <w:r>
        <w:rPr>
          <w:rFonts w:hint="eastAsia" w:ascii="宋体" w:hAnsi="宋体" w:eastAsia="宋体" w:cs="宋体"/>
          <w:spacing w:val="0"/>
          <w:sz w:val="44"/>
          <w:szCs w:val="44"/>
          <w:lang w:val="en-US" w:eastAsia="zh-CN"/>
        </w:rPr>
        <w:t xml:space="preserve">2 </w:t>
      </w:r>
      <w:bookmarkEnd w:id="59"/>
      <w:bookmarkEnd w:id="60"/>
      <w:r>
        <w:rPr>
          <w:rFonts w:hint="eastAsia" w:ascii="宋体" w:hAnsi="宋体" w:eastAsia="宋体" w:cs="宋体"/>
          <w:spacing w:val="0"/>
          <w:sz w:val="44"/>
          <w:szCs w:val="44"/>
          <w:lang w:val="en-US" w:eastAsia="zh-CN"/>
        </w:rPr>
        <w:t>面临形势</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1"/>
        <w:rPr>
          <w:rFonts w:hint="eastAsia" w:ascii="宋体" w:hAnsi="宋体" w:eastAsia="宋体" w:cs="宋体"/>
          <w:b/>
          <w:bCs/>
          <w:spacing w:val="0"/>
          <w:sz w:val="40"/>
          <w:szCs w:val="40"/>
        </w:rPr>
      </w:pPr>
      <w:bookmarkStart w:id="61" w:name="_Toc20782_WPSOffice_Level2"/>
      <w:bookmarkStart w:id="62" w:name="_Toc4952_WPSOffice_Level2"/>
      <w:r>
        <w:rPr>
          <w:rFonts w:hint="eastAsia" w:ascii="宋体" w:hAnsi="宋体" w:eastAsia="宋体" w:cs="宋体"/>
          <w:b/>
          <w:bCs/>
          <w:spacing w:val="0"/>
          <w:sz w:val="40"/>
          <w:szCs w:val="40"/>
        </w:rPr>
        <w:t>2.1</w:t>
      </w:r>
      <w:r>
        <w:rPr>
          <w:rFonts w:hint="eastAsia" w:ascii="宋体" w:hAnsi="宋体" w:eastAsia="宋体" w:cs="宋体"/>
          <w:b/>
          <w:bCs/>
          <w:spacing w:val="0"/>
          <w:sz w:val="40"/>
          <w:szCs w:val="40"/>
          <w:lang w:val="en-US" w:eastAsia="zh-CN"/>
        </w:rPr>
        <w:t xml:space="preserve"> </w:t>
      </w:r>
      <w:r>
        <w:rPr>
          <w:rFonts w:hint="eastAsia" w:ascii="宋体" w:hAnsi="宋体" w:eastAsia="宋体" w:cs="宋体"/>
          <w:b/>
          <w:bCs/>
          <w:spacing w:val="0"/>
          <w:sz w:val="40"/>
          <w:szCs w:val="40"/>
        </w:rPr>
        <w:t>区域互济、资源共享</w:t>
      </w:r>
      <w:bookmarkEnd w:id="61"/>
      <w:bookmarkEnd w:id="62"/>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napToGrid w:val="0"/>
          <w:color w:val="000000"/>
          <w:spacing w:val="0"/>
          <w:kern w:val="0"/>
          <w:sz w:val="32"/>
          <w:szCs w:val="32"/>
          <w:lang w:val="en-US" w:eastAsia="en-US" w:bidi="ar-SA"/>
        </w:rPr>
        <w:t>麻栗坡县虽然水资源丰富，但由于时空分布不均，水土分布不均</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000000"/>
          <w:spacing w:val="0"/>
          <w:kern w:val="0"/>
          <w:sz w:val="32"/>
          <w:szCs w:val="32"/>
          <w:lang w:val="en-US" w:eastAsia="en-US" w:bidi="ar-SA"/>
        </w:rPr>
        <w:t>多水地区多为山区，人口少，耕地零星分布，少水地区多为坝区和半山区，耕地集中，土地肥沃，人口稠密，经济发达，水资源供需矛盾异常突出，通过整合全县水资源，做到水资源连通调配，分配平衡后</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000000"/>
          <w:spacing w:val="0"/>
          <w:kern w:val="0"/>
          <w:sz w:val="32"/>
          <w:szCs w:val="32"/>
          <w:lang w:val="en-US" w:eastAsia="en-US" w:bidi="ar-SA"/>
        </w:rPr>
        <w:t>才能实现水资源区域互济，资源共享。</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1"/>
        <w:rPr>
          <w:rFonts w:hint="eastAsia" w:ascii="宋体" w:hAnsi="宋体" w:eastAsia="宋体" w:cs="宋体"/>
          <w:b/>
          <w:bCs/>
          <w:spacing w:val="0"/>
          <w:sz w:val="40"/>
          <w:szCs w:val="40"/>
        </w:rPr>
      </w:pPr>
      <w:bookmarkStart w:id="63" w:name="bookmark8"/>
      <w:bookmarkEnd w:id="63"/>
      <w:bookmarkStart w:id="64" w:name="_Toc27369_WPSOffice_Level2"/>
      <w:bookmarkStart w:id="65" w:name="_Toc30318_WPSOffice_Level2"/>
      <w:r>
        <w:rPr>
          <w:rFonts w:hint="eastAsia" w:ascii="宋体" w:hAnsi="宋体" w:eastAsia="宋体" w:cs="宋体"/>
          <w:b/>
          <w:bCs/>
          <w:spacing w:val="0"/>
          <w:sz w:val="40"/>
          <w:szCs w:val="40"/>
        </w:rPr>
        <w:t>2.2</w:t>
      </w:r>
      <w:r>
        <w:rPr>
          <w:rFonts w:hint="eastAsia" w:ascii="宋体" w:hAnsi="宋体" w:eastAsia="宋体" w:cs="宋体"/>
          <w:b/>
          <w:bCs/>
          <w:spacing w:val="0"/>
          <w:sz w:val="40"/>
          <w:szCs w:val="40"/>
          <w:lang w:val="en-US" w:eastAsia="zh-CN"/>
        </w:rPr>
        <w:t xml:space="preserve"> </w:t>
      </w:r>
      <w:r>
        <w:rPr>
          <w:rFonts w:hint="eastAsia" w:ascii="宋体" w:hAnsi="宋体" w:eastAsia="宋体" w:cs="宋体"/>
          <w:b/>
          <w:bCs/>
          <w:spacing w:val="0"/>
          <w:sz w:val="40"/>
          <w:szCs w:val="40"/>
        </w:rPr>
        <w:t>缩小城乡供水差别、促进农村供水巩固提升</w:t>
      </w:r>
      <w:bookmarkEnd w:id="64"/>
      <w:bookmarkEnd w:id="65"/>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napToGrid w:val="0"/>
          <w:color w:val="000000"/>
          <w:spacing w:val="0"/>
          <w:kern w:val="0"/>
          <w:sz w:val="32"/>
          <w:szCs w:val="32"/>
          <w:lang w:val="en-US" w:eastAsia="en-US" w:bidi="ar-SA"/>
        </w:rPr>
        <w:t>麻栗坡县现状集中供水区除县城有相对稳定的水源和建有水处理厂外，</w:t>
      </w:r>
      <w:r>
        <w:rPr>
          <w:rFonts w:hint="eastAsia" w:ascii="宋体" w:hAnsi="宋体" w:eastAsia="宋体" w:cs="宋体"/>
          <w:snapToGrid w:val="0"/>
          <w:color w:val="auto"/>
          <w:spacing w:val="0"/>
          <w:kern w:val="0"/>
          <w:sz w:val="32"/>
          <w:szCs w:val="32"/>
          <w:lang w:val="en-US" w:eastAsia="zh-CN" w:bidi="ar-SA"/>
        </w:rPr>
        <w:t>部分</w:t>
      </w:r>
      <w:r>
        <w:rPr>
          <w:rFonts w:hint="eastAsia" w:ascii="宋体" w:hAnsi="宋体" w:eastAsia="宋体" w:cs="宋体"/>
          <w:snapToGrid w:val="0"/>
          <w:color w:val="auto"/>
          <w:spacing w:val="0"/>
          <w:kern w:val="0"/>
          <w:sz w:val="32"/>
          <w:szCs w:val="32"/>
          <w:lang w:val="en-US" w:eastAsia="en-US" w:bidi="ar-SA"/>
        </w:rPr>
        <w:t>乡</w:t>
      </w:r>
      <w:r>
        <w:rPr>
          <w:rFonts w:hint="eastAsia" w:ascii="宋体" w:hAnsi="宋体" w:eastAsia="宋体" w:cs="宋体"/>
          <w:snapToGrid w:val="0"/>
          <w:color w:val="000000"/>
          <w:spacing w:val="0"/>
          <w:kern w:val="0"/>
          <w:sz w:val="32"/>
          <w:szCs w:val="32"/>
          <w:lang w:val="en-US" w:eastAsia="en-US" w:bidi="ar-SA"/>
        </w:rPr>
        <w:t>（镇）采用直饮库水和箐沟水，并且还有几个乡镇驻地还没有稳定的水源点，水处理设施更是奢望，连基本的水量问题都没有得到保证，水质更是难以保证，乡（镇）以下的农村犹如底层百姓</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000000"/>
          <w:spacing w:val="0"/>
          <w:kern w:val="0"/>
          <w:sz w:val="32"/>
          <w:szCs w:val="32"/>
          <w:lang w:val="en-US" w:eastAsia="en-US" w:bidi="ar-SA"/>
        </w:rPr>
        <w:t>喝着不达标的箐沟水和水窖水，其用水情况与城区有着较大差别，本次规划通过将骨干水源点进行连通后集中连片供水，并在小范围内建设小型水源工程，配套水质处理措施，只有解决其水量和水质问题，才能缩小城乡供水差别，管网的延伸才能促进农村供水巩固提升，让农村百姓也享受到和城市一样的供水，提升农村百姓的幸福感，让他们真正感受到同在一片蓝天下的小康生活。</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1"/>
        <w:rPr>
          <w:rFonts w:hint="eastAsia" w:ascii="宋体" w:hAnsi="宋体" w:eastAsia="宋体" w:cs="宋体"/>
          <w:b/>
          <w:bCs/>
          <w:spacing w:val="0"/>
          <w:sz w:val="40"/>
          <w:szCs w:val="40"/>
        </w:rPr>
      </w:pPr>
      <w:bookmarkStart w:id="66" w:name="bookmark9"/>
      <w:bookmarkEnd w:id="66"/>
      <w:bookmarkStart w:id="67" w:name="_Toc21443_WPSOffice_Level2"/>
      <w:bookmarkStart w:id="68" w:name="_Toc17227_WPSOffice_Level2"/>
      <w:r>
        <w:rPr>
          <w:rFonts w:hint="eastAsia" w:ascii="宋体" w:hAnsi="宋体" w:eastAsia="宋体" w:cs="宋体"/>
          <w:b/>
          <w:bCs/>
          <w:spacing w:val="0"/>
          <w:sz w:val="40"/>
          <w:szCs w:val="40"/>
        </w:rPr>
        <w:t>2.3</w:t>
      </w:r>
      <w:r>
        <w:rPr>
          <w:rFonts w:hint="eastAsia" w:ascii="宋体" w:hAnsi="宋体" w:eastAsia="宋体" w:cs="宋体"/>
          <w:b/>
          <w:bCs/>
          <w:spacing w:val="0"/>
          <w:sz w:val="40"/>
          <w:szCs w:val="40"/>
          <w:lang w:val="en-US" w:eastAsia="zh-CN"/>
        </w:rPr>
        <w:t xml:space="preserve"> </w:t>
      </w:r>
      <w:r>
        <w:rPr>
          <w:rFonts w:hint="eastAsia" w:ascii="宋体" w:hAnsi="宋体" w:eastAsia="宋体" w:cs="宋体"/>
          <w:b/>
          <w:bCs/>
          <w:spacing w:val="0"/>
          <w:sz w:val="40"/>
          <w:szCs w:val="40"/>
        </w:rPr>
        <w:t>便于统筹管理，促进水务一体化进程</w:t>
      </w:r>
      <w:bookmarkEnd w:id="67"/>
      <w:bookmarkEnd w:id="68"/>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napToGrid w:val="0"/>
          <w:color w:val="000000"/>
          <w:spacing w:val="0"/>
          <w:kern w:val="0"/>
          <w:sz w:val="32"/>
          <w:szCs w:val="32"/>
          <w:lang w:val="en-US" w:eastAsia="en-US" w:bidi="ar-SA"/>
        </w:rPr>
        <w:t>就目前的水资源管理体制来看为“多龙管水”制，涉及环保、住建、农业等多部门，</w:t>
      </w:r>
      <w:r>
        <w:rPr>
          <w:rFonts w:hint="eastAsia" w:ascii="宋体" w:hAnsi="宋体" w:eastAsia="宋体" w:cs="宋体"/>
          <w:snapToGrid w:val="0"/>
          <w:color w:val="auto"/>
          <w:spacing w:val="0"/>
          <w:kern w:val="0"/>
          <w:sz w:val="32"/>
          <w:szCs w:val="32"/>
          <w:lang w:val="en-US" w:eastAsia="en-US" w:bidi="ar-SA"/>
        </w:rPr>
        <w:t>管源水</w:t>
      </w:r>
      <w:bookmarkStart w:id="133" w:name="_GoBack"/>
      <w:bookmarkEnd w:id="133"/>
      <w:r>
        <w:rPr>
          <w:rFonts w:hint="eastAsia" w:ascii="宋体" w:hAnsi="宋体" w:eastAsia="宋体" w:cs="宋体"/>
          <w:snapToGrid w:val="0"/>
          <w:color w:val="auto"/>
          <w:spacing w:val="0"/>
          <w:kern w:val="0"/>
          <w:sz w:val="32"/>
          <w:szCs w:val="32"/>
          <w:lang w:val="en-US" w:eastAsia="en-US" w:bidi="ar-SA"/>
        </w:rPr>
        <w:t>（包括防洪）的不管供水，管供水的不管节水和排水，管排水的不管治理污水和地下水回灌，管</w:t>
      </w:r>
      <w:r>
        <w:rPr>
          <w:rFonts w:hint="eastAsia" w:ascii="宋体" w:hAnsi="宋体" w:eastAsia="宋体" w:cs="宋体"/>
          <w:snapToGrid w:val="0"/>
          <w:color w:val="auto"/>
          <w:spacing w:val="0"/>
          <w:kern w:val="0"/>
          <w:sz w:val="32"/>
          <w:szCs w:val="32"/>
          <w:lang w:val="en-US" w:eastAsia="zh-CN" w:bidi="ar-SA"/>
        </w:rPr>
        <w:t>治理污水</w:t>
      </w:r>
      <w:r>
        <w:rPr>
          <w:rFonts w:hint="eastAsia" w:ascii="宋体" w:hAnsi="宋体" w:eastAsia="宋体" w:cs="宋体"/>
          <w:snapToGrid w:val="0"/>
          <w:color w:val="auto"/>
          <w:spacing w:val="0"/>
          <w:kern w:val="0"/>
          <w:sz w:val="32"/>
          <w:szCs w:val="32"/>
          <w:lang w:val="en-US" w:eastAsia="en-US" w:bidi="ar-SA"/>
        </w:rPr>
        <w:t>的不管污水处理回用，水资源管理较为混乱。只有建立统一的运行管理机制，明确责任主体，才</w:t>
      </w:r>
      <w:r>
        <w:rPr>
          <w:rFonts w:hint="eastAsia" w:ascii="宋体" w:hAnsi="宋体" w:eastAsia="宋体" w:cs="宋体"/>
          <w:snapToGrid w:val="0"/>
          <w:color w:val="auto"/>
          <w:spacing w:val="0"/>
          <w:kern w:val="0"/>
          <w:sz w:val="32"/>
          <w:szCs w:val="32"/>
          <w:lang w:val="en-US" w:eastAsia="zh-CN" w:bidi="ar-SA"/>
        </w:rPr>
        <w:t>能</w:t>
      </w:r>
      <w:r>
        <w:rPr>
          <w:rFonts w:hint="eastAsia" w:ascii="宋体" w:hAnsi="宋体" w:eastAsia="宋体" w:cs="宋体"/>
          <w:snapToGrid w:val="0"/>
          <w:color w:val="auto"/>
          <w:spacing w:val="0"/>
          <w:kern w:val="0"/>
          <w:sz w:val="32"/>
          <w:szCs w:val="32"/>
          <w:lang w:val="en-US" w:eastAsia="en-US" w:bidi="ar-SA"/>
        </w:rPr>
        <w:t>促进水务一体化进程。根据麻栗坡县水资源分布特点，本次“十四五”农村供水规划打破行政区域界线和流域界线，充分利用好已建的蓄水工程和相关规划提出的一批小型水源工程、</w:t>
      </w:r>
      <w:r>
        <w:rPr>
          <w:rFonts w:hint="eastAsia" w:ascii="宋体" w:hAnsi="宋体" w:eastAsia="宋体" w:cs="宋体"/>
          <w:snapToGrid w:val="0"/>
          <w:color w:val="000000"/>
          <w:spacing w:val="0"/>
          <w:kern w:val="0"/>
          <w:sz w:val="32"/>
          <w:szCs w:val="32"/>
          <w:lang w:val="en-US" w:eastAsia="en-US" w:bidi="ar-SA"/>
        </w:rPr>
        <w:t>集中供水工程和管道延伸工程实现全县水资源平衡，为麻栗坡县社会经济发展提供安全可靠的水资源和水生态保障，农村供水保障建设十分紧迫，非常必要。</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leftChars="0" w:right="105" w:rightChars="50" w:firstLine="803" w:firstLineChars="200"/>
        <w:jc w:val="both"/>
        <w:textAlignment w:val="baseline"/>
        <w:outlineLvl w:val="1"/>
        <w:rPr>
          <w:rFonts w:hint="eastAsia" w:ascii="宋体" w:hAnsi="宋体" w:eastAsia="宋体" w:cs="宋体"/>
          <w:b/>
          <w:bCs/>
          <w:spacing w:val="0"/>
          <w:sz w:val="40"/>
          <w:szCs w:val="40"/>
        </w:rPr>
      </w:pPr>
      <w:bookmarkStart w:id="69" w:name="bookmark10"/>
      <w:bookmarkEnd w:id="69"/>
      <w:bookmarkStart w:id="70" w:name="_Toc24063_WPSOffice_Level2"/>
      <w:bookmarkStart w:id="71" w:name="_Toc16583_WPSOffice_Level2"/>
      <w:r>
        <w:rPr>
          <w:rFonts w:hint="eastAsia" w:ascii="宋体" w:hAnsi="宋体" w:eastAsia="宋体" w:cs="宋体"/>
          <w:b/>
          <w:bCs/>
          <w:spacing w:val="0"/>
          <w:sz w:val="40"/>
          <w:szCs w:val="40"/>
        </w:rPr>
        <w:t>2.4“补短板，强监管”，为“</w:t>
      </w:r>
      <w:r>
        <w:rPr>
          <w:rFonts w:hint="eastAsia" w:ascii="宋体" w:hAnsi="宋体" w:eastAsia="宋体" w:cs="宋体"/>
          <w:b/>
          <w:bCs/>
          <w:spacing w:val="0"/>
          <w:sz w:val="40"/>
          <w:szCs w:val="40"/>
          <w:lang w:eastAsia="zh-CN"/>
        </w:rPr>
        <w:t>乡村振兴</w:t>
      </w:r>
      <w:r>
        <w:rPr>
          <w:rFonts w:hint="eastAsia" w:ascii="宋体" w:hAnsi="宋体" w:eastAsia="宋体" w:cs="宋体"/>
          <w:b/>
          <w:bCs/>
          <w:spacing w:val="0"/>
          <w:sz w:val="40"/>
          <w:szCs w:val="40"/>
        </w:rPr>
        <w:t>战略规划”打好基础</w:t>
      </w:r>
      <w:bookmarkEnd w:id="70"/>
      <w:bookmarkEnd w:id="71"/>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zh-CN" w:bidi="ar-SA"/>
        </w:rPr>
      </w:pPr>
      <w:r>
        <w:rPr>
          <w:rFonts w:hint="eastAsia" w:ascii="宋体" w:hAnsi="宋体" w:eastAsia="宋体" w:cs="宋体"/>
          <w:snapToGrid w:val="0"/>
          <w:color w:val="000000"/>
          <w:spacing w:val="0"/>
          <w:kern w:val="0"/>
          <w:sz w:val="32"/>
          <w:szCs w:val="32"/>
          <w:lang w:val="en-US" w:eastAsia="en-US" w:bidi="ar-SA"/>
        </w:rPr>
        <w:t>按照水利部“补短板，强监管”的要求，麻栗坡县水务局积极争取资金，推进城乡供水一体化、农村供水规模化标准化建设。通过实施农村供水保障工程，结合已建的集镇、农村供水工程，进一步促进城市（乡镇）供水基础设施向农村的延伸，提高农村供水普及率，彻底解决农村供水的突出矛盾，消除安全隐患，保障农村居民饮水安全</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000000"/>
          <w:spacing w:val="0"/>
          <w:kern w:val="0"/>
          <w:sz w:val="32"/>
          <w:szCs w:val="32"/>
          <w:lang w:val="en-US" w:eastAsia="en-US" w:bidi="ar-SA"/>
        </w:rPr>
        <w:t>全面建成小康社会目标，促进城乡经济社会统筹发展，最终实现麻栗坡县“城乡供水一体化、农村供水规模化”的目标，为下一步实施“</w:t>
      </w:r>
      <w:r>
        <w:rPr>
          <w:rFonts w:hint="eastAsia" w:ascii="宋体" w:hAnsi="宋体" w:eastAsia="宋体" w:cs="宋体"/>
          <w:snapToGrid w:val="0"/>
          <w:color w:val="000000"/>
          <w:spacing w:val="0"/>
          <w:kern w:val="0"/>
          <w:sz w:val="32"/>
          <w:szCs w:val="32"/>
          <w:lang w:val="en-US" w:eastAsia="zh-CN" w:bidi="ar-SA"/>
        </w:rPr>
        <w:t>乡村振兴</w:t>
      </w:r>
      <w:r>
        <w:rPr>
          <w:rFonts w:hint="eastAsia" w:ascii="宋体" w:hAnsi="宋体" w:eastAsia="宋体" w:cs="宋体"/>
          <w:snapToGrid w:val="0"/>
          <w:color w:val="000000"/>
          <w:spacing w:val="0"/>
          <w:kern w:val="0"/>
          <w:sz w:val="32"/>
          <w:szCs w:val="32"/>
          <w:lang w:val="en-US" w:eastAsia="en-US" w:bidi="ar-SA"/>
        </w:rPr>
        <w:t>战略规划”打好坚实的</w:t>
      </w:r>
      <w:r>
        <w:rPr>
          <w:rFonts w:hint="eastAsia" w:ascii="宋体" w:hAnsi="宋体" w:eastAsia="宋体" w:cs="宋体"/>
          <w:snapToGrid w:val="0"/>
          <w:color w:val="000000"/>
          <w:spacing w:val="0"/>
          <w:kern w:val="0"/>
          <w:sz w:val="32"/>
          <w:szCs w:val="32"/>
          <w:lang w:val="en-US" w:eastAsia="zh-CN" w:bidi="ar-SA"/>
        </w:rPr>
        <w:t>基础。</w:t>
      </w:r>
      <w:bookmarkStart w:id="72" w:name="bookmark12"/>
      <w:bookmarkEnd w:id="72"/>
      <w:bookmarkStart w:id="73" w:name="bookmark11"/>
      <w:bookmarkEnd w:id="73"/>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both"/>
        <w:textAlignment w:val="baseline"/>
        <w:outlineLvl w:val="9"/>
        <w:rPr>
          <w:rFonts w:hint="eastAsia" w:ascii="宋体" w:hAnsi="宋体" w:eastAsia="宋体" w:cs="宋体"/>
          <w:spacing w:val="0"/>
          <w:sz w:val="44"/>
          <w:szCs w:val="44"/>
          <w:lang w:val="en-US" w:eastAsia="zh-CN"/>
        </w:rPr>
      </w:pPr>
      <w:bookmarkStart w:id="74" w:name="_Toc20030_WPSOffice_Level1"/>
      <w:bookmarkStart w:id="75" w:name="_Toc17227_WPSOffice_Level1"/>
      <w:r>
        <w:rPr>
          <w:rFonts w:hint="eastAsia" w:ascii="宋体" w:hAnsi="宋体" w:eastAsia="宋体" w:cs="宋体"/>
          <w:spacing w:val="0"/>
          <w:sz w:val="44"/>
          <w:szCs w:val="44"/>
          <w:lang w:val="en-US" w:eastAsia="zh-CN"/>
        </w:rPr>
        <w:t>3 指导思想与目标任务</w:t>
      </w:r>
      <w:bookmarkEnd w:id="74"/>
      <w:bookmarkEnd w:id="75"/>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eastAsia" w:ascii="宋体" w:hAnsi="宋体" w:eastAsia="宋体" w:cs="宋体"/>
          <w:spacing w:val="0"/>
          <w:sz w:val="32"/>
          <w:szCs w:val="32"/>
          <w14:textOutline w14:w="5791" w14:cap="flat" w14:cmpd="sng">
            <w14:solidFill>
              <w14:srgbClr w14:val="000000"/>
            </w14:solidFill>
            <w14:prstDash w14:val="solid"/>
            <w14:miter w14:val="0"/>
          </w14:textOutline>
        </w:rPr>
      </w:pPr>
      <w:bookmarkStart w:id="76" w:name="bookmark14"/>
      <w:bookmarkEnd w:id="76"/>
      <w:bookmarkStart w:id="77" w:name="bookmark13"/>
      <w:bookmarkEnd w:id="77"/>
      <w:bookmarkStart w:id="78" w:name="_Toc28734_WPSOffice_Level2"/>
      <w:bookmarkStart w:id="79" w:name="_Toc31776_WPSOffice_Level2"/>
      <w:r>
        <w:rPr>
          <w:rFonts w:hint="eastAsia" w:ascii="宋体" w:hAnsi="宋体" w:eastAsia="宋体" w:cs="宋体"/>
          <w:spacing w:val="0"/>
          <w:sz w:val="32"/>
          <w:szCs w:val="32"/>
          <w14:textOutline w14:w="5791" w14:cap="flat" w14:cmpd="sng">
            <w14:solidFill>
              <w14:srgbClr w14:val="000000"/>
            </w14:solidFill>
            <w14:prstDash w14:val="solid"/>
            <w14:miter w14:val="0"/>
          </w14:textOutline>
        </w:rPr>
        <w:t>3.</w:t>
      </w:r>
      <w:r>
        <w:rPr>
          <w:rFonts w:hint="eastAsia" w:ascii="宋体" w:hAnsi="宋体" w:eastAsia="宋体" w:cs="宋体"/>
          <w:spacing w:val="0"/>
          <w:sz w:val="32"/>
          <w:szCs w:val="32"/>
          <w:lang w:val="en-US" w:eastAsia="zh-CN"/>
          <w14:textOutline w14:w="5791" w14:cap="flat" w14:cmpd="sng">
            <w14:solidFill>
              <w14:srgbClr w14:val="000000"/>
            </w14:solidFill>
            <w14:prstDash w14:val="solid"/>
            <w14:miter w14:val="0"/>
          </w14:textOutline>
        </w:rPr>
        <w:t>1</w:t>
      </w:r>
      <w:r>
        <w:rPr>
          <w:rFonts w:hint="eastAsia" w:ascii="宋体" w:hAnsi="宋体" w:eastAsia="宋体" w:cs="宋体"/>
          <w:spacing w:val="0"/>
          <w:sz w:val="32"/>
          <w:szCs w:val="32"/>
          <w14:textOutline w14:w="5791" w14:cap="flat" w14:cmpd="sng">
            <w14:solidFill>
              <w14:srgbClr w14:val="000000"/>
            </w14:solidFill>
            <w14:prstDash w14:val="solid"/>
            <w14:miter w14:val="0"/>
          </w14:textOutline>
        </w:rPr>
        <w:t>指导规划思想与基本原则</w:t>
      </w:r>
      <w:bookmarkEnd w:id="78"/>
      <w:bookmarkEnd w:id="79"/>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2"/>
        <w:rPr>
          <w:rFonts w:hint="eastAsia" w:ascii="宋体" w:hAnsi="宋体" w:eastAsia="宋体" w:cs="宋体"/>
          <w:spacing w:val="0"/>
          <w:sz w:val="32"/>
          <w:szCs w:val="32"/>
        </w:rPr>
      </w:pPr>
      <w:bookmarkStart w:id="80" w:name="_Toc25170_WPSOffice_Level3"/>
      <w:r>
        <w:rPr>
          <w:rFonts w:hint="eastAsia" w:ascii="宋体" w:hAnsi="宋体" w:eastAsia="宋体" w:cs="宋体"/>
          <w:b/>
          <w:bCs/>
          <w:spacing w:val="0"/>
          <w:sz w:val="32"/>
          <w:szCs w:val="32"/>
        </w:rPr>
        <w:t>3.</w:t>
      </w:r>
      <w:r>
        <w:rPr>
          <w:rFonts w:hint="eastAsia" w:ascii="宋体" w:hAnsi="宋体" w:eastAsia="宋体" w:cs="宋体"/>
          <w:b/>
          <w:bCs/>
          <w:spacing w:val="0"/>
          <w:sz w:val="32"/>
          <w:szCs w:val="32"/>
          <w:lang w:val="en-US" w:eastAsia="zh-CN"/>
        </w:rPr>
        <w:t>1</w:t>
      </w:r>
      <w:r>
        <w:rPr>
          <w:rFonts w:hint="eastAsia" w:ascii="宋体" w:hAnsi="宋体" w:eastAsia="宋体" w:cs="宋体"/>
          <w:b/>
          <w:bCs/>
          <w:spacing w:val="0"/>
          <w:sz w:val="32"/>
          <w:szCs w:val="32"/>
        </w:rPr>
        <w:t>.1</w:t>
      </w:r>
      <w:r>
        <w:rPr>
          <w:rFonts w:hint="eastAsia" w:ascii="宋体" w:hAnsi="宋体" w:eastAsia="宋体" w:cs="宋体"/>
          <w:spacing w:val="0"/>
          <w:sz w:val="32"/>
          <w:szCs w:val="32"/>
          <w14:textOutline w14:w="5442" w14:cap="flat" w14:cmpd="sng">
            <w14:solidFill>
              <w14:srgbClr w14:val="000000"/>
            </w14:solidFill>
            <w14:prstDash w14:val="solid"/>
            <w14:miter w14:val="0"/>
          </w14:textOutline>
        </w:rPr>
        <w:t>指导思想</w:t>
      </w:r>
      <w:bookmarkEnd w:id="80"/>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napToGrid w:val="0"/>
          <w:color w:val="000000"/>
          <w:spacing w:val="0"/>
          <w:kern w:val="0"/>
          <w:sz w:val="32"/>
          <w:szCs w:val="32"/>
          <w:lang w:val="en-US" w:eastAsia="en-US" w:bidi="ar-SA"/>
        </w:rPr>
        <w:t>以邓小平理论、“三个代表”重要思想、科学发展观为指导，全面贯彻落实党的十九大精神，以习近平新时代中国特色社会主义思想为指导，认真贯彻中央经济工作会议、中央农村工作会议和中央一号文件精神以及习近平总书记考察云南重要讲话，以中央加快水利改革发展和云南省加快实施“兴水强滇”战略为契机，紧紧围绕“三农”工作大局，以提升为农服务能力为根本，以构建更加完备的农业社会化服务体系、更加健全的基层组织体系、与农民利益联结更加紧密的农村产业融合发展新体系为重点，主动担当、积极作为、合理布局，不断开创改革发展新局面。</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2"/>
        <w:rPr>
          <w:rFonts w:hint="eastAsia" w:ascii="宋体" w:hAnsi="宋体" w:eastAsia="宋体" w:cs="宋体"/>
          <w:spacing w:val="0"/>
          <w:sz w:val="32"/>
          <w:szCs w:val="32"/>
        </w:rPr>
      </w:pPr>
      <w:bookmarkStart w:id="81" w:name="_Toc29654_WPSOffice_Level3"/>
      <w:bookmarkStart w:id="82" w:name="_Toc2479_WPSOffice_Level2"/>
      <w:bookmarkStart w:id="83" w:name="_Toc26961_WPSOffice_Level2"/>
      <w:r>
        <w:rPr>
          <w:rFonts w:hint="eastAsia" w:ascii="宋体" w:hAnsi="宋体" w:eastAsia="宋体" w:cs="宋体"/>
          <w:b/>
          <w:bCs/>
          <w:spacing w:val="0"/>
          <w:sz w:val="32"/>
          <w:szCs w:val="32"/>
        </w:rPr>
        <w:t>3.</w:t>
      </w:r>
      <w:r>
        <w:rPr>
          <w:rFonts w:hint="eastAsia" w:ascii="宋体" w:hAnsi="宋体" w:eastAsia="宋体" w:cs="宋体"/>
          <w:b/>
          <w:bCs/>
          <w:spacing w:val="0"/>
          <w:sz w:val="32"/>
          <w:szCs w:val="32"/>
          <w:lang w:val="en-US" w:eastAsia="zh-CN"/>
        </w:rPr>
        <w:t>1</w:t>
      </w:r>
      <w:r>
        <w:rPr>
          <w:rFonts w:hint="eastAsia" w:ascii="宋体" w:hAnsi="宋体" w:eastAsia="宋体" w:cs="宋体"/>
          <w:b/>
          <w:bCs/>
          <w:spacing w:val="0"/>
          <w:sz w:val="32"/>
          <w:szCs w:val="32"/>
        </w:rPr>
        <w:t>.2</w:t>
      </w:r>
      <w:r>
        <w:rPr>
          <w:rFonts w:hint="eastAsia" w:ascii="宋体" w:hAnsi="宋体" w:eastAsia="宋体" w:cs="宋体"/>
          <w:spacing w:val="0"/>
          <w:sz w:val="32"/>
          <w:szCs w:val="32"/>
          <w14:textOutline w14:w="5442" w14:cap="flat" w14:cmpd="sng">
            <w14:solidFill>
              <w14:srgbClr w14:val="000000"/>
            </w14:solidFill>
            <w14:prstDash w14:val="solid"/>
            <w14:miter w14:val="0"/>
          </w14:textOutline>
        </w:rPr>
        <w:t>基本原则</w:t>
      </w:r>
      <w:bookmarkEnd w:id="81"/>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坚持节水优先，促进水资源高效利用与需求管理。坚持并严格落实节水优先方针，大力宣传节水和洁水观念，加快观念的变革和意识的转变，加快从供水管理向需水管理转变，加快构建效率优先、配置优化的差别化流域区域水源建设模式，加快构建节水管理的良治体制，建立健全节水激励机制和市场准入标准，强化节水约束性指标考核，大力推进农业节水、工业节水、生活节水，加快推进节水型社会建设。通过进行水资源的开发利用和保护，坚持节水治污优先，保障水资源可持续利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——坚持空间均衡，逐步构建水资源时空调控的合理配置格局。全省各地自然条件、社会经济发展水平和现有水利建设状况等方面都存在较大的区域差异，水利建设应</w:t>
      </w:r>
      <w:r>
        <w:rPr>
          <w:rFonts w:hint="eastAsia" w:ascii="宋体" w:hAnsi="宋体" w:eastAsia="宋体" w:cs="宋体"/>
          <w:snapToGrid w:val="0"/>
          <w:color w:val="auto"/>
          <w:spacing w:val="0"/>
          <w:kern w:val="0"/>
          <w:sz w:val="32"/>
          <w:szCs w:val="32"/>
          <w:lang w:val="en-US" w:eastAsia="zh-CN" w:bidi="ar-SA"/>
        </w:rPr>
        <w:t>充分</w:t>
      </w:r>
      <w:r>
        <w:rPr>
          <w:rFonts w:hint="eastAsia" w:ascii="宋体" w:hAnsi="宋体" w:eastAsia="宋体" w:cs="宋体"/>
          <w:snapToGrid w:val="0"/>
          <w:color w:val="auto"/>
          <w:spacing w:val="0"/>
          <w:kern w:val="0"/>
          <w:sz w:val="32"/>
          <w:szCs w:val="32"/>
          <w:lang w:val="en-US" w:eastAsia="en-US" w:bidi="ar-SA"/>
        </w:rPr>
        <w:t>考虑</w:t>
      </w:r>
      <w:r>
        <w:rPr>
          <w:rFonts w:hint="eastAsia" w:ascii="宋体" w:hAnsi="宋体" w:eastAsia="宋体" w:cs="宋体"/>
          <w:snapToGrid w:val="0"/>
          <w:color w:val="000000"/>
          <w:spacing w:val="0"/>
          <w:kern w:val="0"/>
          <w:sz w:val="32"/>
          <w:szCs w:val="32"/>
          <w:lang w:val="en-US" w:eastAsia="en-US" w:bidi="ar-SA"/>
        </w:rPr>
        <w:t>区域差异，因地制宜，反对一刀切。</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——坚持两手发力，处理好政府主导与市场关系。全面深化水利改革，创新发展体制机制，充分发挥市场在资源配置中的决定性作用</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000000"/>
          <w:spacing w:val="0"/>
          <w:kern w:val="0"/>
          <w:sz w:val="32"/>
          <w:szCs w:val="32"/>
          <w:lang w:val="en-US" w:eastAsia="en-US" w:bidi="ar-SA"/>
        </w:rPr>
        <w:t>更好地发挥政府的主导作用，着力推进水利重要领域和关键环节的改革攻坚，使水利发展更加充满活力、富有效率。</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坚持以人为本，着力保障民生。把人民群众根本利益作为水利工作的出发点和落脚点，把人民群众最关心、最直接、最现实的民生水利问题作为水利工作的优先领域，通过新建集中供水工程、管网延伸、整村推进等举措，进一步提升农村饮水安全的保障水平，确保不将农村饮水安全问题带入小康社会，努力改善生产条件和人居环境</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000000"/>
          <w:spacing w:val="0"/>
          <w:kern w:val="0"/>
          <w:sz w:val="32"/>
          <w:szCs w:val="32"/>
          <w:lang w:val="en-US" w:eastAsia="en-US" w:bidi="ar-SA"/>
        </w:rPr>
        <w:t>提高人民群众生活水平，使水利建设成果惠及全省各族人民群众。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坚持改革创新，促进水利良性发展。以保障水安全和大力发展民生水利为出发点，推进重要领域和关键环节改革创新，建立健全水利投融资、水行政管理、水资源管理、水利建设、水利安全发展的体制机制，不断破除制约水利发展的各种障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eastAsia" w:ascii="宋体" w:hAnsi="宋体" w:eastAsia="宋体" w:cs="宋体"/>
          <w:spacing w:val="0"/>
          <w:sz w:val="32"/>
          <w:szCs w:val="32"/>
          <w14:textOutline w14:w="5791" w14:cap="flat" w14:cmpd="sng">
            <w14:solidFill>
              <w14:srgbClr w14:val="000000"/>
            </w14:solidFill>
            <w14:prstDash w14:val="solid"/>
            <w14:miter w14:val="0"/>
          </w14:textOutline>
        </w:rPr>
      </w:pPr>
      <w:r>
        <w:rPr>
          <w:rFonts w:hint="eastAsia" w:ascii="宋体" w:hAnsi="宋体" w:eastAsia="宋体" w:cs="宋体"/>
          <w:spacing w:val="0"/>
          <w:sz w:val="32"/>
          <w:szCs w:val="32"/>
          <w14:textOutline w14:w="5791" w14:cap="flat" w14:cmpd="sng">
            <w14:solidFill>
              <w14:srgbClr w14:val="000000"/>
            </w14:solidFill>
            <w14:prstDash w14:val="solid"/>
            <w14:miter w14:val="0"/>
          </w14:textOutline>
        </w:rPr>
        <w:t>3.2规划水平年</w:t>
      </w:r>
      <w:bookmarkEnd w:id="82"/>
      <w:bookmarkEnd w:id="83"/>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基准年为2020年，水平年为2025年。</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eastAsia" w:ascii="宋体" w:hAnsi="宋体" w:eastAsia="宋体" w:cs="宋体"/>
          <w:spacing w:val="0"/>
          <w:sz w:val="32"/>
          <w:szCs w:val="32"/>
          <w14:textOutline w14:w="5791" w14:cap="flat" w14:cmpd="sng">
            <w14:solidFill>
              <w14:srgbClr w14:val="000000"/>
            </w14:solidFill>
            <w14:prstDash w14:val="solid"/>
            <w14:miter w14:val="0"/>
          </w14:textOutline>
        </w:rPr>
      </w:pPr>
      <w:bookmarkStart w:id="84" w:name="_Toc3548_WPSOffice_Level2"/>
      <w:bookmarkStart w:id="85" w:name="_Toc11101_WPSOffice_Level2"/>
      <w:r>
        <w:rPr>
          <w:rFonts w:hint="eastAsia" w:ascii="宋体" w:hAnsi="宋体" w:eastAsia="宋体" w:cs="宋体"/>
          <w:spacing w:val="0"/>
          <w:sz w:val="32"/>
          <w:szCs w:val="32"/>
          <w14:textOutline w14:w="5791" w14:cap="flat" w14:cmpd="sng">
            <w14:solidFill>
              <w14:srgbClr w14:val="000000"/>
            </w14:solidFill>
            <w14:prstDash w14:val="solid"/>
            <w14:miter w14:val="0"/>
          </w14:textOutline>
        </w:rPr>
        <w:t>3.4规划目标</w:t>
      </w:r>
      <w:bookmarkEnd w:id="84"/>
      <w:bookmarkEnd w:id="85"/>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color w:val="auto"/>
          <w:spacing w:val="0"/>
          <w:sz w:val="32"/>
          <w:szCs w:val="32"/>
          <w:highlight w:val="yellow"/>
        </w:rPr>
      </w:pPr>
      <w:r>
        <w:rPr>
          <w:rFonts w:hint="eastAsia" w:ascii="宋体" w:hAnsi="宋体" w:eastAsia="宋体" w:cs="宋体"/>
          <w:snapToGrid w:val="0"/>
          <w:color w:val="000000"/>
          <w:spacing w:val="0"/>
          <w:kern w:val="0"/>
          <w:sz w:val="32"/>
          <w:szCs w:val="32"/>
          <w:lang w:val="en-US" w:eastAsia="en-US" w:bidi="ar-SA"/>
        </w:rPr>
        <w:t>坚持“以人为本、节水优先、合理布局、两手发力”的新时期治水方针，围绕“供水安全，促进人水和谐”总目标，按照全县社会经济水利发展的空间布局，坚持兴利除害结合、开源节流并举、建设管理并重、开发保护兼顾的原则，科学规划全县各区域之间各项农村供水工程，构建城乡一体的饮水安全体系。农村饮水安全保障程度持续提升，提高农村集中式供水受益人口比例，山区半山区农村生产用水基本保障。确保城、乡（镇）、重点集镇都有较为稳定的供水水源</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000000"/>
          <w:spacing w:val="0"/>
          <w:kern w:val="0"/>
          <w:sz w:val="32"/>
          <w:szCs w:val="32"/>
          <w:lang w:val="en-US" w:eastAsia="en-US" w:bidi="ar-SA"/>
        </w:rPr>
        <w:t>城市和重点乡（镇）具备备用水源和可靠的供水管网，城乡供水网向下延伸至村民委及村小组，努力实现城乡供水一体化。按照最新标准</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auto"/>
          <w:spacing w:val="0"/>
          <w:kern w:val="0"/>
          <w:sz w:val="32"/>
          <w:szCs w:val="32"/>
          <w:highlight w:val="none"/>
          <w:lang w:val="en-US" w:eastAsia="en-US" w:bidi="ar-SA"/>
        </w:rPr>
        <w:t>以2020年为基准年，到规划水平年2025年</w:t>
      </w:r>
      <w:r>
        <w:rPr>
          <w:rFonts w:hint="eastAsia" w:ascii="宋体" w:hAnsi="宋体" w:eastAsia="宋体" w:cs="宋体"/>
          <w:snapToGrid w:val="0"/>
          <w:color w:val="auto"/>
          <w:spacing w:val="0"/>
          <w:kern w:val="0"/>
          <w:sz w:val="32"/>
          <w:szCs w:val="32"/>
          <w:highlight w:val="none"/>
          <w:lang w:val="en-US" w:eastAsia="zh-CN" w:bidi="ar-SA"/>
        </w:rPr>
        <w:t>，</w:t>
      </w:r>
      <w:r>
        <w:rPr>
          <w:rFonts w:hint="eastAsia" w:ascii="宋体" w:hAnsi="宋体" w:eastAsia="宋体" w:cs="宋体"/>
          <w:snapToGrid w:val="0"/>
          <w:color w:val="auto"/>
          <w:spacing w:val="0"/>
          <w:kern w:val="0"/>
          <w:sz w:val="32"/>
          <w:szCs w:val="32"/>
          <w:highlight w:val="none"/>
          <w:lang w:val="en-US" w:eastAsia="en-US" w:bidi="ar-SA"/>
        </w:rPr>
        <w:t>全县农村集中供水率达到90%以上，农村自来水普及率达到85%以上</w:t>
      </w:r>
      <w:r>
        <w:rPr>
          <w:rFonts w:hint="eastAsia" w:ascii="宋体" w:hAnsi="宋体" w:eastAsia="宋体" w:cs="宋体"/>
          <w:snapToGrid w:val="0"/>
          <w:color w:val="auto"/>
          <w:spacing w:val="0"/>
          <w:kern w:val="0"/>
          <w:sz w:val="32"/>
          <w:szCs w:val="32"/>
          <w:highlight w:val="none"/>
          <w:lang w:val="en-US" w:eastAsia="zh-CN" w:bidi="ar-SA"/>
        </w:rPr>
        <w:t>，</w:t>
      </w:r>
      <w:r>
        <w:rPr>
          <w:rFonts w:hint="eastAsia" w:ascii="宋体" w:hAnsi="宋体" w:eastAsia="宋体" w:cs="宋体"/>
          <w:snapToGrid w:val="0"/>
          <w:color w:val="auto"/>
          <w:spacing w:val="0"/>
          <w:kern w:val="0"/>
          <w:sz w:val="32"/>
          <w:szCs w:val="32"/>
          <w:highlight w:val="none"/>
          <w:lang w:val="en-US" w:eastAsia="en-US" w:bidi="ar-SA"/>
        </w:rPr>
        <w:t>水质合格率超过全国平均水平。</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both"/>
        <w:textAlignment w:val="baseline"/>
        <w:outlineLvl w:val="9"/>
        <w:rPr>
          <w:rFonts w:hint="eastAsia" w:ascii="宋体" w:hAnsi="宋体" w:eastAsia="宋体" w:cs="宋体"/>
          <w:spacing w:val="0"/>
          <w:sz w:val="44"/>
          <w:szCs w:val="44"/>
          <w:lang w:val="en-US" w:eastAsia="zh-CN"/>
        </w:rPr>
      </w:pPr>
      <w:bookmarkStart w:id="86" w:name="bookmark17"/>
      <w:bookmarkEnd w:id="86"/>
      <w:bookmarkStart w:id="87" w:name="bookmark16"/>
      <w:bookmarkEnd w:id="87"/>
      <w:bookmarkStart w:id="88" w:name="_Toc16583_WPSOffice_Level1"/>
      <w:bookmarkStart w:id="89" w:name="_Toc20782_WPSOffice_Level1"/>
      <w:r>
        <w:rPr>
          <w:rFonts w:hint="eastAsia" w:ascii="宋体" w:hAnsi="宋体" w:eastAsia="宋体" w:cs="宋体"/>
          <w:spacing w:val="0"/>
          <w:sz w:val="44"/>
          <w:szCs w:val="44"/>
          <w:lang w:val="en-US" w:eastAsia="zh-CN"/>
        </w:rPr>
        <w:t>4 总体布局</w:t>
      </w:r>
      <w:bookmarkEnd w:id="88"/>
      <w:bookmarkEnd w:id="89"/>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zh-CN" w:bidi="ar-SA"/>
        </w:rPr>
      </w:pPr>
      <w:r>
        <w:rPr>
          <w:rFonts w:hint="eastAsia" w:ascii="宋体" w:hAnsi="宋体" w:eastAsia="宋体" w:cs="宋体"/>
          <w:snapToGrid w:val="0"/>
          <w:color w:val="000000"/>
          <w:spacing w:val="0"/>
          <w:kern w:val="0"/>
          <w:sz w:val="32"/>
          <w:szCs w:val="32"/>
          <w:lang w:val="en-US" w:eastAsia="en-US" w:bidi="ar-SA"/>
        </w:rPr>
        <w:t>麻栗坡县岩溶地貌发育，人均水资源量接近全省平均水平，但地表径流渗漏严重，地下水埋藏较深，开发利用困难，加之现有可利用水资源时空分布不均，水利化程度低，坝区的水用不完，山区缺水严重，水资源无法调配使用，属于典型的工程性缺水地区</w:t>
      </w:r>
      <w:r>
        <w:rPr>
          <w:rFonts w:hint="eastAsia" w:ascii="宋体" w:hAnsi="宋体" w:eastAsia="宋体" w:cs="宋体"/>
          <w:snapToGrid w:val="0"/>
          <w:color w:val="000000"/>
          <w:spacing w:val="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加快推进</w:t>
      </w:r>
      <w:r>
        <w:rPr>
          <w:rFonts w:hint="eastAsia" w:ascii="宋体" w:hAnsi="宋体" w:eastAsia="宋体" w:cs="宋体"/>
          <w:snapToGrid w:val="0"/>
          <w:color w:val="000000"/>
          <w:spacing w:val="0"/>
          <w:kern w:val="0"/>
          <w:sz w:val="32"/>
          <w:szCs w:val="32"/>
          <w:lang w:val="en-US" w:eastAsia="zh-CN" w:bidi="ar-SA"/>
        </w:rPr>
        <w:t>麻栗坡县</w:t>
      </w:r>
      <w:r>
        <w:rPr>
          <w:rFonts w:hint="eastAsia" w:ascii="宋体" w:hAnsi="宋体" w:eastAsia="宋体" w:cs="宋体"/>
          <w:snapToGrid w:val="0"/>
          <w:color w:val="000000"/>
          <w:spacing w:val="0"/>
          <w:kern w:val="0"/>
          <w:sz w:val="32"/>
          <w:szCs w:val="32"/>
          <w:lang w:val="en-US" w:eastAsia="en-US" w:bidi="ar-SA"/>
        </w:rPr>
        <w:t>“十四五”农村供水保障工作，水资源开发要坚持“点上开发、面上保护”，建设一批</w:t>
      </w:r>
      <w:r>
        <w:rPr>
          <w:rFonts w:hint="eastAsia" w:ascii="宋体" w:hAnsi="宋体" w:eastAsia="宋体" w:cs="宋体"/>
          <w:snapToGrid w:val="0"/>
          <w:color w:val="000000"/>
          <w:spacing w:val="0"/>
          <w:kern w:val="0"/>
          <w:sz w:val="32"/>
          <w:szCs w:val="32"/>
          <w:lang w:val="en-US" w:eastAsia="zh-CN" w:bidi="ar-SA"/>
        </w:rPr>
        <w:t>规模化</w:t>
      </w:r>
      <w:r>
        <w:rPr>
          <w:rFonts w:hint="eastAsia" w:ascii="宋体" w:hAnsi="宋体" w:eastAsia="宋体" w:cs="宋体"/>
          <w:snapToGrid w:val="0"/>
          <w:color w:val="000000"/>
          <w:spacing w:val="0"/>
          <w:kern w:val="0"/>
          <w:sz w:val="32"/>
          <w:szCs w:val="32"/>
          <w:lang w:val="en-US" w:eastAsia="en-US" w:bidi="ar-SA"/>
        </w:rPr>
        <w:t>供水工程和一批中、小型骨干水库工程，解决城乡饮水安全，因地制宜积极发展小型水利设施。同时，麻栗坡县也是沿边对外开放经济带重点区，强化水利基础设施保障，重点推进边境线区域供水工程建设。本次麻栗坡县“十四五”农村供水保障规划根据全县农村供水现状存在的问题进行布局</w:t>
      </w:r>
      <w:r>
        <w:rPr>
          <w:rFonts w:hint="eastAsia" w:ascii="宋体" w:hAnsi="宋体" w:eastAsia="宋体" w:cs="宋体"/>
          <w:snapToGrid w:val="0"/>
          <w:color w:val="000000"/>
          <w:spacing w:val="0"/>
          <w:kern w:val="0"/>
          <w:sz w:val="32"/>
          <w:szCs w:val="32"/>
          <w:lang w:val="en-US" w:eastAsia="zh-CN" w:bidi="ar-SA"/>
        </w:rPr>
        <w:t>。以柳家湾水库、普腊水库、八里坪水库、大路沟水库（其他规划新建）、石桥水库、苏麻地水库为核心水源，布局一批规模化供水工程，供水覆盖董干镇、铁厂乡、杨万乡，以及马街乡、八布乡、六河乡的部分地区，覆盖人口10.92万人。针对全县零星分布的村庄采取新建和改造的方式巩固供水保障能力。</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eastAsia" w:ascii="宋体" w:hAnsi="宋体" w:eastAsia="宋体" w:cs="宋体"/>
          <w:spacing w:val="0"/>
          <w:sz w:val="32"/>
          <w:szCs w:val="32"/>
        </w:rPr>
      </w:pPr>
      <w:bookmarkStart w:id="90" w:name="bookmark20"/>
      <w:bookmarkEnd w:id="90"/>
      <w:bookmarkStart w:id="91" w:name="_Toc2249_WPSOffice_Level1"/>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both"/>
        <w:textAlignment w:val="baseline"/>
        <w:outlineLvl w:val="9"/>
        <w:rPr>
          <w:rFonts w:hint="eastAsia" w:ascii="宋体" w:hAnsi="宋体" w:eastAsia="宋体" w:cs="宋体"/>
          <w:spacing w:val="0"/>
          <w:sz w:val="44"/>
          <w:szCs w:val="44"/>
          <w:lang w:val="en-US" w:eastAsia="zh-CN"/>
        </w:rPr>
      </w:pPr>
      <w:bookmarkStart w:id="92" w:name="_Toc27369_WPSOffice_Level1"/>
      <w:r>
        <w:rPr>
          <w:rFonts w:hint="eastAsia" w:ascii="宋体" w:hAnsi="宋体" w:eastAsia="宋体" w:cs="宋体"/>
          <w:spacing w:val="0"/>
          <w:sz w:val="44"/>
          <w:szCs w:val="44"/>
          <w:lang w:val="en-US" w:eastAsia="zh-CN"/>
        </w:rPr>
        <w:t>5 工程建设内容</w:t>
      </w:r>
      <w:bookmarkEnd w:id="91"/>
      <w:bookmarkEnd w:id="92"/>
    </w:p>
    <w:p>
      <w:pPr>
        <w:snapToGrid w:val="0"/>
        <w:spacing w:after="0" w:line="560" w:lineRule="exact"/>
        <w:ind w:firstLine="640" w:firstLineChars="200"/>
        <w:rPr>
          <w:rFonts w:hint="eastAsia" w:ascii="宋体" w:hAnsi="宋体" w:eastAsia="宋体" w:cs="宋体"/>
          <w:color w:val="auto"/>
          <w:spacing w:val="0"/>
          <w:sz w:val="32"/>
          <w:szCs w:val="32"/>
          <w:highlight w:val="none"/>
          <w:lang w:eastAsia="zh-CN"/>
        </w:rPr>
      </w:pPr>
      <w:r>
        <w:rPr>
          <w:rFonts w:hint="eastAsia" w:ascii="宋体" w:hAnsi="宋体" w:eastAsia="宋体" w:cs="宋体"/>
          <w:color w:val="auto"/>
          <w:spacing w:val="0"/>
          <w:sz w:val="32"/>
          <w:szCs w:val="32"/>
          <w:highlight w:val="none"/>
          <w:lang w:eastAsia="zh-CN"/>
        </w:rPr>
        <w:t>坚持目标引领、问题导向、措施有力、效果显著的原则，以高标准建设水利基础设施网络、高效能推进治水能力现代化为抓手，持续推进水资源供给可靠、管理智能高效的</w:t>
      </w:r>
      <w:r>
        <w:rPr>
          <w:rFonts w:hint="eastAsia" w:ascii="宋体" w:hAnsi="宋体" w:eastAsia="宋体" w:cs="宋体"/>
          <w:color w:val="auto"/>
          <w:spacing w:val="0"/>
          <w:sz w:val="32"/>
          <w:szCs w:val="32"/>
          <w:highlight w:val="none"/>
          <w:lang w:val="en-US" w:eastAsia="zh-CN"/>
        </w:rPr>
        <w:t>农村供水</w:t>
      </w:r>
      <w:r>
        <w:rPr>
          <w:rFonts w:hint="eastAsia" w:ascii="宋体" w:hAnsi="宋体" w:eastAsia="宋体" w:cs="宋体"/>
          <w:color w:val="auto"/>
          <w:spacing w:val="0"/>
          <w:sz w:val="32"/>
          <w:szCs w:val="32"/>
          <w:highlight w:val="none"/>
          <w:lang w:eastAsia="zh-CN"/>
        </w:rPr>
        <w:t>保障体系建设。</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rPr>
        <w:sectPr>
          <w:headerReference r:id="rId7" w:type="default"/>
          <w:footerReference r:id="rId8" w:type="default"/>
          <w:pgSz w:w="16838" w:h="23811"/>
          <w:pgMar w:top="1474" w:right="1417" w:bottom="1417" w:left="1587" w:header="898" w:footer="1009" w:gutter="0"/>
          <w:pgNumType w:fmt="decimal" w:start="1"/>
          <w:cols w:space="0" w:num="1"/>
          <w:rtlGutter w:val="0"/>
          <w:docGrid w:linePitch="0" w:charSpace="0"/>
        </w:sectPr>
      </w:pPr>
      <w:r>
        <w:rPr>
          <w:rFonts w:hint="eastAsia" w:ascii="宋体" w:hAnsi="宋体" w:eastAsia="宋体" w:cs="宋体"/>
          <w:color w:val="auto"/>
          <w:spacing w:val="0"/>
          <w:sz w:val="32"/>
          <w:szCs w:val="32"/>
          <w:highlight w:val="none"/>
          <w:lang w:eastAsia="zh-CN"/>
        </w:rPr>
        <w:t>通过工程改造、升级、配套、联网等方式，进一步提高农村饮水安全保障程度和质量。城镇周边地区，通过延伸供水管网、扩大供水范围，推进城乡供水一体化。在人口相对集中、有水源条件的地区，通过联村并网、整村推进，推进规模化集中供水。在人口相对分散区域，对小型和分散式供水工程进行标准化改造。加强农村饮用水水源保护，加强水质检测能力建设。规划实施</w:t>
      </w:r>
      <w:r>
        <w:rPr>
          <w:rFonts w:hint="eastAsia" w:ascii="宋体" w:hAnsi="宋体" w:eastAsia="宋体" w:cs="宋体"/>
          <w:color w:val="auto"/>
          <w:spacing w:val="0"/>
          <w:sz w:val="32"/>
          <w:szCs w:val="32"/>
          <w:highlight w:val="none"/>
          <w:lang w:val="en-US" w:eastAsia="zh-CN"/>
        </w:rPr>
        <w:t>农村供水工程</w:t>
      </w:r>
      <w:r>
        <w:rPr>
          <w:rFonts w:hint="eastAsia" w:ascii="宋体" w:hAnsi="宋体" w:eastAsia="宋体" w:cs="宋体"/>
          <w:color w:val="auto"/>
          <w:spacing w:val="0"/>
          <w:sz w:val="32"/>
          <w:szCs w:val="32"/>
          <w:highlight w:val="none"/>
          <w:lang w:eastAsia="zh-CN"/>
        </w:rPr>
        <w:t>等</w:t>
      </w:r>
      <w:r>
        <w:rPr>
          <w:rFonts w:hint="eastAsia" w:ascii="宋体" w:hAnsi="宋体" w:eastAsia="宋体" w:cs="宋体"/>
          <w:color w:val="auto"/>
          <w:spacing w:val="0"/>
          <w:sz w:val="32"/>
          <w:szCs w:val="32"/>
          <w:highlight w:val="none"/>
          <w:lang w:val="en-US" w:eastAsia="zh-CN"/>
        </w:rPr>
        <w:t>36</w:t>
      </w:r>
      <w:r>
        <w:rPr>
          <w:rFonts w:hint="eastAsia" w:ascii="宋体" w:hAnsi="宋体" w:eastAsia="宋体" w:cs="宋体"/>
          <w:color w:val="auto"/>
          <w:spacing w:val="0"/>
          <w:sz w:val="32"/>
          <w:szCs w:val="32"/>
          <w:highlight w:val="none"/>
          <w:lang w:eastAsia="zh-CN"/>
        </w:rPr>
        <w:t>件农村供水保障工程，覆盖供水人口</w:t>
      </w:r>
      <w:r>
        <w:rPr>
          <w:rFonts w:hint="eastAsia" w:ascii="宋体" w:hAnsi="宋体" w:eastAsia="宋体" w:cs="宋体"/>
          <w:color w:val="auto"/>
          <w:spacing w:val="0"/>
          <w:sz w:val="32"/>
          <w:szCs w:val="32"/>
          <w:highlight w:val="none"/>
          <w:lang w:val="en-US" w:eastAsia="zh-CN"/>
        </w:rPr>
        <w:t>12.93</w:t>
      </w:r>
      <w:r>
        <w:rPr>
          <w:rFonts w:hint="eastAsia" w:ascii="宋体" w:hAnsi="宋体" w:eastAsia="宋体" w:cs="宋体"/>
          <w:color w:val="auto"/>
          <w:spacing w:val="0"/>
          <w:sz w:val="32"/>
          <w:szCs w:val="32"/>
          <w:highlight w:val="none"/>
          <w:lang w:eastAsia="zh-CN"/>
        </w:rPr>
        <w:t>万人，</w:t>
      </w:r>
      <w:r>
        <w:rPr>
          <w:rFonts w:hint="eastAsia" w:ascii="宋体" w:hAnsi="宋体" w:eastAsia="宋体" w:cs="宋体"/>
          <w:snapToGrid w:val="0"/>
          <w:color w:val="000000"/>
          <w:spacing w:val="0"/>
          <w:kern w:val="0"/>
          <w:sz w:val="32"/>
          <w:szCs w:val="32"/>
          <w:lang w:val="en-US" w:eastAsia="en-US" w:bidi="ar-SA"/>
        </w:rPr>
        <w:t>具体内容详见</w:t>
      </w:r>
      <w:r>
        <w:rPr>
          <w:rFonts w:hint="eastAsia" w:ascii="宋体" w:hAnsi="宋体" w:eastAsia="宋体" w:cs="宋体"/>
          <w:snapToGrid w:val="0"/>
          <w:color w:val="000000"/>
          <w:spacing w:val="0"/>
          <w:kern w:val="0"/>
          <w:sz w:val="32"/>
          <w:szCs w:val="32"/>
          <w:lang w:val="en-US" w:eastAsia="zh-CN" w:bidi="ar-SA"/>
        </w:rPr>
        <w:t>下</w:t>
      </w:r>
      <w:r>
        <w:rPr>
          <w:rFonts w:hint="eastAsia" w:ascii="宋体" w:hAnsi="宋体" w:eastAsia="宋体" w:cs="宋体"/>
          <w:snapToGrid w:val="0"/>
          <w:color w:val="000000"/>
          <w:spacing w:val="0"/>
          <w:kern w:val="0"/>
          <w:sz w:val="32"/>
          <w:szCs w:val="32"/>
          <w:lang w:val="en-US" w:eastAsia="en-US" w:bidi="ar-SA"/>
        </w:rPr>
        <w:t>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textAlignment w:val="baseline"/>
        <w:rPr>
          <w:rFonts w:hint="eastAsia" w:ascii="宋体" w:hAnsi="宋体" w:eastAsia="宋体" w:cs="宋体"/>
          <w:spacing w:val="0"/>
          <w:sz w:val="32"/>
          <w:szCs w:val="32"/>
        </w:rPr>
      </w:pPr>
      <w:bookmarkStart w:id="93" w:name="_Toc21443_WPSOffice_Level1"/>
      <w:bookmarkStart w:id="94" w:name="_Toc32174_WPSOffice_Level1"/>
      <w:r>
        <w:rPr>
          <w:rFonts w:hint="eastAsia" w:ascii="宋体" w:hAnsi="宋体" w:eastAsia="宋体" w:cs="宋体"/>
          <w:spacing w:val="0"/>
          <w:sz w:val="32"/>
          <w:szCs w:val="32"/>
        </w:rPr>
        <w:t>麻栗坡县“十四五”农村供水保障规划工程</w:t>
      </w:r>
      <w:r>
        <w:rPr>
          <w:rFonts w:hint="eastAsia" w:ascii="宋体" w:hAnsi="宋体" w:eastAsia="宋体" w:cs="宋体"/>
          <w:spacing w:val="0"/>
          <w:sz w:val="32"/>
          <w:szCs w:val="32"/>
          <w:lang w:val="en-US" w:eastAsia="zh-CN"/>
        </w:rPr>
        <w:t>项目</w:t>
      </w:r>
      <w:r>
        <w:rPr>
          <w:rFonts w:hint="eastAsia" w:ascii="宋体" w:hAnsi="宋体" w:eastAsia="宋体" w:cs="宋体"/>
          <w:spacing w:val="0"/>
          <w:sz w:val="32"/>
          <w:szCs w:val="32"/>
        </w:rPr>
        <w:t>表</w:t>
      </w:r>
      <w:bookmarkEnd w:id="93"/>
      <w:bookmarkEnd w:id="94"/>
    </w:p>
    <w:tbl>
      <w:tblPr>
        <w:tblStyle w:val="7"/>
        <w:tblW w:w="21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7"/>
        <w:gridCol w:w="980"/>
        <w:gridCol w:w="1155"/>
        <w:gridCol w:w="2197"/>
        <w:gridCol w:w="2913"/>
        <w:gridCol w:w="900"/>
        <w:gridCol w:w="1193"/>
        <w:gridCol w:w="1193"/>
        <w:gridCol w:w="1276"/>
        <w:gridCol w:w="1194"/>
        <w:gridCol w:w="1193"/>
        <w:gridCol w:w="1775"/>
        <w:gridCol w:w="1245"/>
        <w:gridCol w:w="750"/>
        <w:gridCol w:w="720"/>
        <w:gridCol w:w="900"/>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序号</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工程类型</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规模类型</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工程名称</w:t>
            </w:r>
          </w:p>
        </w:tc>
        <w:tc>
          <w:tcPr>
            <w:tcW w:w="29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覆盖范围</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建设性质</w:t>
            </w: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覆盖人口（人）</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供水规模（m³/d）</w:t>
            </w:r>
          </w:p>
        </w:tc>
        <w:tc>
          <w:tcPr>
            <w:tcW w:w="2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水源情况</w:t>
            </w:r>
          </w:p>
        </w:tc>
        <w:tc>
          <w:tcPr>
            <w:tcW w:w="46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主要建设内容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29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覆盖人口</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其中新增覆盖人口</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设计供水规模</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其中新增供水规模</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水源类型（地表水/地下水/混合型）</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水源水质（Ⅲ类及Ⅲ类以上/Ⅲ类以下）</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水源工程</w:t>
            </w:r>
            <w:r>
              <w:rPr>
                <w:rFonts w:hint="eastAsia" w:ascii="宋体" w:hAnsi="宋体" w:eastAsia="宋体" w:cs="宋体"/>
                <w:i w:val="0"/>
                <w:snapToGrid w:val="0"/>
                <w:color w:val="000000"/>
                <w:spacing w:val="0"/>
                <w:kern w:val="0"/>
                <w:sz w:val="21"/>
                <w:szCs w:val="21"/>
                <w:u w:val="none"/>
                <w:lang w:val="en-US" w:eastAsia="zh-CN" w:bidi="ar"/>
              </w:rPr>
              <w:br w:type="textWrapping"/>
            </w:r>
            <w:r>
              <w:rPr>
                <w:rFonts w:hint="eastAsia" w:ascii="宋体" w:hAnsi="宋体" w:eastAsia="宋体" w:cs="宋体"/>
                <w:i w:val="0"/>
                <w:snapToGrid w:val="0"/>
                <w:color w:val="000000"/>
                <w:spacing w:val="0"/>
                <w:kern w:val="0"/>
                <w:sz w:val="21"/>
                <w:szCs w:val="21"/>
                <w:u w:val="none"/>
                <w:lang w:val="en-US" w:eastAsia="zh-CN" w:bidi="ar"/>
              </w:rPr>
              <w:t>（新建/改造/既有水源）</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水质净化</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管网配套（km）</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snapToGrid w:val="0"/>
                <w:color w:val="000000"/>
                <w:spacing w:val="0"/>
                <w:kern w:val="0"/>
                <w:sz w:val="21"/>
                <w:szCs w:val="21"/>
                <w:u w:val="none"/>
                <w:lang w:val="en-US" w:eastAsia="zh-CN" w:bidi="ar"/>
              </w:rPr>
            </w:pPr>
            <w:r>
              <w:rPr>
                <w:rFonts w:hint="eastAsia" w:ascii="宋体" w:hAnsi="宋体" w:eastAsia="宋体" w:cs="宋体"/>
                <w:i w:val="0"/>
                <w:snapToGrid w:val="0"/>
                <w:color w:val="000000"/>
                <w:spacing w:val="0"/>
                <w:kern w:val="0"/>
                <w:sz w:val="21"/>
                <w:szCs w:val="21"/>
                <w:u w:val="none"/>
                <w:lang w:val="en-US" w:eastAsia="zh-CN" w:bidi="ar"/>
              </w:rPr>
              <w:t>计量设备</w:t>
            </w:r>
          </w:p>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29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水厂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snapToGrid w:val="0"/>
                <w:color w:val="000000"/>
                <w:spacing w:val="0"/>
                <w:kern w:val="0"/>
                <w:sz w:val="21"/>
                <w:szCs w:val="21"/>
                <w:u w:val="none"/>
                <w:lang w:val="en-US" w:eastAsia="zh-CN" w:bidi="ar"/>
              </w:rPr>
            </w:pPr>
            <w:r>
              <w:rPr>
                <w:rFonts w:hint="eastAsia" w:ascii="宋体" w:hAnsi="宋体" w:eastAsia="宋体" w:cs="宋体"/>
                <w:i w:val="0"/>
                <w:snapToGrid w:val="0"/>
                <w:color w:val="000000"/>
                <w:spacing w:val="0"/>
                <w:kern w:val="0"/>
                <w:sz w:val="21"/>
                <w:szCs w:val="21"/>
                <w:u w:val="none"/>
                <w:lang w:val="en-US" w:eastAsia="zh-CN" w:bidi="ar"/>
              </w:rPr>
              <w:t>净化</w:t>
            </w:r>
          </w:p>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设备</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snapToGrid w:val="0"/>
                <w:color w:val="000000"/>
                <w:spacing w:val="0"/>
                <w:kern w:val="0"/>
                <w:sz w:val="21"/>
                <w:szCs w:val="21"/>
                <w:u w:val="none"/>
                <w:lang w:val="en-US" w:eastAsia="zh-CN" w:bidi="ar"/>
              </w:rPr>
              <w:t>合计</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snapToGrid w:val="0"/>
                <w:color w:val="000000"/>
                <w:spacing w:val="0"/>
                <w:kern w:val="0"/>
                <w:sz w:val="21"/>
                <w:szCs w:val="21"/>
                <w:u w:val="none"/>
                <w:lang w:val="en-US" w:eastAsia="zh-CN" w:bidi="ar"/>
              </w:rPr>
              <w:t>36件</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b/>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b/>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snapToGrid w:val="0"/>
                <w:color w:val="000000"/>
                <w:spacing w:val="0"/>
                <w:kern w:val="0"/>
                <w:sz w:val="21"/>
                <w:szCs w:val="21"/>
                <w:u w:val="none"/>
                <w:lang w:val="en-US" w:eastAsia="zh-CN" w:bidi="ar"/>
              </w:rPr>
              <w:t>129375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snapToGrid w:val="0"/>
                <w:color w:val="000000"/>
                <w:spacing w:val="0"/>
                <w:kern w:val="0"/>
                <w:sz w:val="21"/>
                <w:szCs w:val="21"/>
                <w:u w:val="none"/>
                <w:lang w:val="en-US" w:eastAsia="zh-CN" w:bidi="ar"/>
              </w:rPr>
              <w:t>41003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snapToGrid w:val="0"/>
                <w:color w:val="000000"/>
                <w:spacing w:val="0"/>
                <w:kern w:val="0"/>
                <w:sz w:val="21"/>
                <w:szCs w:val="21"/>
                <w:u w:val="none"/>
                <w:lang w:val="en-US" w:eastAsia="zh-CN" w:bidi="ar"/>
              </w:rPr>
              <w:t xml:space="preserve">25586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snapToGrid w:val="0"/>
                <w:color w:val="000000"/>
                <w:spacing w:val="0"/>
                <w:kern w:val="0"/>
                <w:sz w:val="21"/>
                <w:szCs w:val="21"/>
                <w:u w:val="none"/>
                <w:lang w:val="en-US" w:eastAsia="zh-CN" w:bidi="ar"/>
              </w:rPr>
              <w:t xml:space="preserve">24293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b/>
                <w:i w:val="0"/>
                <w:color w:val="000000"/>
                <w:spacing w:val="0"/>
                <w:sz w:val="21"/>
                <w:szCs w:val="21"/>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b/>
                <w:i w:val="0"/>
                <w:color w:val="000000"/>
                <w:spacing w:val="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b/>
                <w:i w:val="0"/>
                <w:color w:val="000000"/>
                <w:spacing w:val="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b/>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b/>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snapToGrid w:val="0"/>
                <w:color w:val="000000"/>
                <w:spacing w:val="0"/>
                <w:kern w:val="0"/>
                <w:sz w:val="21"/>
                <w:szCs w:val="21"/>
                <w:u w:val="none"/>
                <w:lang w:val="en-US" w:eastAsia="zh-CN" w:bidi="ar"/>
              </w:rPr>
              <w:t xml:space="preserve">2705 </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snapToGrid w:val="0"/>
                <w:color w:val="000000"/>
                <w:spacing w:val="0"/>
                <w:kern w:val="0"/>
                <w:sz w:val="21"/>
                <w:szCs w:val="21"/>
                <w:u w:val="none"/>
                <w:lang w:val="en-US" w:eastAsia="zh-CN" w:bidi="ar"/>
              </w:rPr>
              <w:t xml:space="preserve">25875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规模化供水工程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万人工程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铁厂片区小水窖替代项目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关告、太坪、太和、木扭、普龙、龙路、杨万、董定、坪子、银厂、梁子街、董度、孔抗、长槽、者挖、普弄、董浪村、白沙杠、竜林集镇、龙林、董定、杨万、铜厂、龙龙、那都、长田、紫胶等村委会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b w:val="0"/>
                <w:bCs/>
                <w:i w:val="0"/>
                <w:color w:val="000000"/>
                <w:spacing w:val="0"/>
                <w:sz w:val="21"/>
                <w:szCs w:val="21"/>
                <w:u w:val="none"/>
              </w:rPr>
            </w:pPr>
            <w:r>
              <w:rPr>
                <w:rFonts w:hint="eastAsia" w:ascii="宋体" w:hAnsi="宋体" w:eastAsia="宋体" w:cs="宋体"/>
                <w:b w:val="0"/>
                <w:bCs/>
                <w:i w:val="0"/>
                <w:snapToGrid w:val="0"/>
                <w:color w:val="000000"/>
                <w:spacing w:val="0"/>
                <w:kern w:val="0"/>
                <w:sz w:val="21"/>
                <w:szCs w:val="21"/>
                <w:u w:val="none"/>
                <w:lang w:val="en-US" w:eastAsia="zh-CN" w:bidi="ar"/>
              </w:rPr>
              <w:t>64528</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b w:val="0"/>
                <w:bCs/>
                <w:i w:val="0"/>
                <w:color w:val="000000"/>
                <w:spacing w:val="0"/>
                <w:sz w:val="21"/>
                <w:szCs w:val="21"/>
                <w:u w:val="none"/>
              </w:rPr>
            </w:pPr>
            <w:r>
              <w:rPr>
                <w:rFonts w:hint="eastAsia" w:ascii="宋体" w:hAnsi="宋体" w:eastAsia="宋体" w:cs="宋体"/>
                <w:b w:val="0"/>
                <w:bCs/>
                <w:i w:val="0"/>
                <w:snapToGrid w:val="0"/>
                <w:color w:val="000000"/>
                <w:spacing w:val="0"/>
                <w:kern w:val="0"/>
                <w:sz w:val="21"/>
                <w:szCs w:val="21"/>
                <w:u w:val="none"/>
                <w:lang w:val="en-US" w:eastAsia="zh-CN" w:bidi="ar"/>
              </w:rPr>
              <w:t>13167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15464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15464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既有水源</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1378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12906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规模化供水工程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万人工程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董干片区供水工程</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董干、嘎阿、永利、马坤、马林、马崩、长槽、者挖等村委会</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19494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12228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3059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3059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既有水源</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407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3899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规模化供水工程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万人工程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马街品乐片区供水工程</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普留塘、梁子街、品乐、石龙等村委会</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11000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7000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3204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3204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既有水源</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464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规模化供水工程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万人工程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大坪片区小水窖替代供水工程</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牛滚塘、马达、新地房、大坪、大石洞、上凉水井等村委会</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14221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5539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1859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1859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既有水源</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159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2844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下金厂云岭片区供水改造工程</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八布那灯村委会</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3715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1200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556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556 </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既有水源</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55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麻栗坡县天保口岸供水项目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天保口岸社区、船头社区、红光社区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扩建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6120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612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92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1224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下金厂中寨片区供水工程</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中寨村委会</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扩建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351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35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15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永利村委会牛厂饮水项目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牛场村小组</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187</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187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15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15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4.30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孔抗村委会楼梯村小组饮水项目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楼梯村小组</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69</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6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2.40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孔抗村委会龙老村小组饮水项目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龙老村小组</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5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1.40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铜厂村委会扣览村饮水项目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扣览村</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252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20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4.62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小寨村委会下福田村小组饮水项目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下福田村小组</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192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15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6.65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小寨村委会三保寨村小组饮水项目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三保寨村小组</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111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5.86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麻栗镇红岩村委会云盘村小组应急供水工程</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云盘村小组</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257</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21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21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14.75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大坪镇苏麻地水库至集镇饮水管网改造项目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大坪集镇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1684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135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11.05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马街乡董浪背丫口村农村饮水安全巩固提升工程</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背丫口</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11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1.34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麻栗镇下凉水井片区水质提升工程</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下凉水井村委会</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1344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108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铁厂乡龙路村委会上、下铳镭饮水安全巩固提升工程</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上、下铳镭</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303</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24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1.10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董干镇长槽村委会核桃坪、金竹坪、长槽饮水项目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核桃坪、金竹坪、长槽</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350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28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3.75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六河乡自然能提水工程项目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六河村委会</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1210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97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3.00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麻栗坡县铁厂乡龙路村委会徐家洞子村饮水项目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徐家洞子</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79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6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2.80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麻栗坡县马街乡普留塘村委会高家湾村饮水项目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高家湾</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136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136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11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11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4.50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麻栗坡县董干镇麻栗堡村委会大马苏村人畜饮水项目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大马苏</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115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3.90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麻栗坡县八布乡江东小学饮水项目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江东小学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251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20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5.10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麻栗坡县董干镇兴隆寨小学饮水项目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兴隆寨小学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146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12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4.81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麻栗坡县董干镇麻栗堡村委会小马苏村小组人畜饮水项目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小马苏</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145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12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3.13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麻栗坡县董干镇麻栗堡村委会水源头、半坡村人畜饮水项目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水源头、半坡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234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4.05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麻栗坡县六河乡营盘山村委会龙后、湾子村人畜饮水项目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龙后、湾子村</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110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110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9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4.50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麻栗坡县六河乡转堡村委会中安村人畜饮水项目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中安</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115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9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5.80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30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麻栗坡县铁厂乡孔抗村委会当湾村人畜饮水项目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当湾</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56</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4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1.58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31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麻栗坡县董干镇上坝村人畜饮水项目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上坝</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246</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20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2.25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32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麻栗坡县六河乡九家寨村人畜饮水项目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九家寨</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240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240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19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5.20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33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麻栗坡县董干镇龙山村人畜饮水项目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龙山</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273</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273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22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22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4.10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34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董干镇麻栗堡村人畜饮水项目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麻栗堡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98</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98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8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8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3.02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35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六河乡张家坡片区人畜饮水项目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张家坡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453</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453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36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36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10.20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36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小型供水工程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千人以下工程</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天保村农村饮水安全巩固提升项目</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天保村委会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改建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1090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87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地表水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Ⅲ类及Ⅲ类以上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11.16</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snapToGrid w:val="0"/>
                <w:color w:val="000000"/>
                <w:spacing w:val="0"/>
                <w:kern w:val="0"/>
                <w:sz w:val="21"/>
                <w:szCs w:val="21"/>
                <w:u w:val="none"/>
                <w:lang w:val="en-US" w:eastAsia="zh-CN" w:bidi="ar"/>
              </w:rPr>
              <w:t xml:space="preserve">218 </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textAlignment w:val="baseline"/>
        <w:rPr>
          <w:rFonts w:hint="eastAsia" w:ascii="宋体" w:hAnsi="宋体" w:eastAsia="宋体" w:cs="宋体"/>
          <w:spacing w:val="0"/>
          <w:sz w:val="32"/>
          <w:szCs w:val="32"/>
        </w:rPr>
        <w:sectPr>
          <w:pgSz w:w="23811" w:h="16838" w:orient="landscape"/>
          <w:pgMar w:top="1213" w:right="1327" w:bottom="1168" w:left="1332" w:header="898" w:footer="1009" w:gutter="0"/>
          <w:pgNumType w:fmt="decimal"/>
          <w:cols w:space="0" w:num="1"/>
          <w:rtlGutter w:val="0"/>
          <w:docGrid w:linePitch="0" w:charSpace="0"/>
        </w:sect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both"/>
        <w:textAlignment w:val="baseline"/>
        <w:outlineLvl w:val="9"/>
        <w:rPr>
          <w:rFonts w:hint="eastAsia" w:ascii="宋体" w:hAnsi="宋体" w:eastAsia="宋体" w:cs="宋体"/>
          <w:spacing w:val="0"/>
          <w:sz w:val="44"/>
          <w:szCs w:val="44"/>
          <w:lang w:val="en-US" w:eastAsia="zh-CN"/>
        </w:rPr>
      </w:pPr>
      <w:bookmarkStart w:id="95" w:name="_Toc25170_WPSOffice_Level1"/>
      <w:bookmarkStart w:id="96" w:name="_Toc24063_WPSOffice_Level1"/>
      <w:r>
        <w:rPr>
          <w:rFonts w:hint="eastAsia" w:ascii="宋体" w:hAnsi="宋体" w:eastAsia="宋体" w:cs="宋体"/>
          <w:spacing w:val="0"/>
          <w:sz w:val="44"/>
          <w:szCs w:val="44"/>
          <w:lang w:val="en-US" w:eastAsia="zh-CN"/>
        </w:rPr>
        <w:t>6 工程管护</w:t>
      </w:r>
      <w:bookmarkEnd w:id="95"/>
      <w:bookmarkEnd w:id="96"/>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zh-CN" w:bidi="ar-SA"/>
        </w:rPr>
      </w:pPr>
      <w:bookmarkStart w:id="97" w:name="_Toc14046_WPSOffice_Level2"/>
      <w:r>
        <w:rPr>
          <w:rFonts w:hint="eastAsia" w:ascii="宋体" w:hAnsi="宋体" w:eastAsia="宋体" w:cs="宋体"/>
          <w:snapToGrid w:val="0"/>
          <w:color w:val="000000"/>
          <w:spacing w:val="0"/>
          <w:kern w:val="0"/>
          <w:sz w:val="32"/>
          <w:szCs w:val="32"/>
          <w:lang w:val="en-US" w:eastAsia="zh-CN" w:bidi="ar-SA"/>
        </w:rPr>
        <w:t>“十四五”时期是麻栗坡县进一步巩固“十三五”水利现代化建设和深化水利改革发展成果的重要时期，进一步推行“十三五”的改革发展措施，稳步提升麻栗坡县的水利管理和服务能力，构建规范高效、科学发展的现代化管理服务体系。</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eastAsia" w:ascii="宋体" w:hAnsi="宋体" w:eastAsia="宋体" w:cs="宋体"/>
          <w:spacing w:val="0"/>
          <w:sz w:val="32"/>
          <w:szCs w:val="32"/>
          <w14:textOutline w14:w="5791" w14:cap="flat" w14:cmpd="sng">
            <w14:solidFill>
              <w14:srgbClr w14:val="000000"/>
            </w14:solidFill>
            <w14:prstDash w14:val="solid"/>
            <w14:miter w14:val="0"/>
          </w14:textOutline>
        </w:rPr>
      </w:pPr>
      <w:bookmarkStart w:id="98" w:name="_Toc3251_WPSOffice_Level2"/>
      <w:r>
        <w:rPr>
          <w:rFonts w:hint="eastAsia" w:ascii="宋体" w:hAnsi="宋体" w:eastAsia="宋体" w:cs="宋体"/>
          <w:spacing w:val="0"/>
          <w:sz w:val="32"/>
          <w:szCs w:val="32"/>
          <w:lang w:val="en-US" w:eastAsia="zh-CN"/>
          <w14:textOutline w14:w="5791" w14:cap="flat" w14:cmpd="sng">
            <w14:solidFill>
              <w14:srgbClr w14:val="000000"/>
            </w14:solidFill>
            <w14:prstDash w14:val="solid"/>
            <w14:miter w14:val="0"/>
          </w14:textOutline>
        </w:rPr>
        <w:t>6</w:t>
      </w:r>
      <w:r>
        <w:rPr>
          <w:rFonts w:hint="eastAsia" w:ascii="宋体" w:hAnsi="宋体" w:eastAsia="宋体" w:cs="宋体"/>
          <w:spacing w:val="0"/>
          <w:sz w:val="32"/>
          <w:szCs w:val="32"/>
          <w14:textOutline w14:w="5791" w14:cap="flat" w14:cmpd="sng">
            <w14:solidFill>
              <w14:srgbClr w14:val="000000"/>
            </w14:solidFill>
            <w14:prstDash w14:val="solid"/>
            <w14:miter w14:val="0"/>
          </w14:textOutline>
        </w:rPr>
        <w:t>.1水价机制建设</w:t>
      </w:r>
      <w:bookmarkEnd w:id="97"/>
      <w:bookmarkEnd w:id="98"/>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1、实行分级定价管理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农村供水工程属</w:t>
      </w:r>
      <w:r>
        <w:rPr>
          <w:rFonts w:hint="eastAsia" w:ascii="宋体" w:hAnsi="宋体" w:eastAsia="宋体" w:cs="宋体"/>
          <w:snapToGrid w:val="0"/>
          <w:color w:val="000000"/>
          <w:spacing w:val="0"/>
          <w:kern w:val="0"/>
          <w:sz w:val="32"/>
          <w:szCs w:val="32"/>
          <w:lang w:val="en-US" w:eastAsia="zh-CN" w:bidi="ar-SA"/>
        </w:rPr>
        <w:t>国家管理的水利</w:t>
      </w:r>
      <w:r>
        <w:rPr>
          <w:rFonts w:hint="eastAsia" w:ascii="宋体" w:hAnsi="宋体" w:eastAsia="宋体" w:cs="宋体"/>
          <w:snapToGrid w:val="0"/>
          <w:color w:val="000000"/>
          <w:spacing w:val="0"/>
          <w:kern w:val="0"/>
          <w:sz w:val="32"/>
          <w:szCs w:val="32"/>
          <w:lang w:val="en-US" w:eastAsia="en-US" w:bidi="ar-SA"/>
        </w:rPr>
        <w:t>工程，供水价格实行政府定价，具体由县价格主管部门制定。</w:t>
      </w:r>
      <w:r>
        <w:rPr>
          <w:rFonts w:hint="eastAsia" w:ascii="宋体" w:hAnsi="宋体" w:eastAsia="宋体" w:cs="宋体"/>
          <w:snapToGrid w:val="0"/>
          <w:color w:val="auto"/>
          <w:spacing w:val="0"/>
          <w:kern w:val="0"/>
          <w:sz w:val="32"/>
          <w:szCs w:val="32"/>
          <w:lang w:val="en-US" w:eastAsia="zh-CN" w:bidi="ar-SA"/>
        </w:rPr>
        <w:t>国家管理水利</w:t>
      </w:r>
      <w:r>
        <w:rPr>
          <w:rFonts w:hint="eastAsia" w:ascii="宋体" w:hAnsi="宋体" w:eastAsia="宋体" w:cs="宋体"/>
          <w:snapToGrid w:val="0"/>
          <w:color w:val="auto"/>
          <w:spacing w:val="0"/>
          <w:kern w:val="0"/>
          <w:sz w:val="32"/>
          <w:szCs w:val="32"/>
          <w:lang w:val="en-US" w:eastAsia="en-US" w:bidi="ar-SA"/>
        </w:rPr>
        <w:t>工程灌区的末级渠系（管网）供水工程、乡镇管水工程的终端水价由县级价格主管部门负</w:t>
      </w:r>
      <w:r>
        <w:rPr>
          <w:rFonts w:hint="eastAsia" w:ascii="宋体" w:hAnsi="宋体" w:eastAsia="宋体" w:cs="宋体"/>
          <w:snapToGrid w:val="0"/>
          <w:color w:val="000000"/>
          <w:spacing w:val="0"/>
          <w:kern w:val="0"/>
          <w:sz w:val="32"/>
          <w:szCs w:val="32"/>
          <w:lang w:val="en-US" w:eastAsia="en-US" w:bidi="ar-SA"/>
        </w:rPr>
        <w:t>责制定和管理，可实行政府定价或协商定价，具备条件的农民用水合作组织可以采取协商方式确定，经县水务局审核报县价格主管部门备案后执行。社会资本投资的供水工程水价实行政府指导价，对社会资本投资的供水工程可采取“一件一策”的方式制定价格，具备条件的地区，可以采取由供水方和用水方协商方式确定，报县水务局和县价格主管部门备案后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2、探索实行分类定价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按照“补偿成本、合理收益、优质优价、公平负担”的原则，结合用水户承受能力和工程良性运行的因素，水利工程供水实行分类定价。供水价格按照供水对象分为农业用水价格和非农业用水价格两大类。农业用水为粮食作物、经济作物、养殖业</w:t>
      </w:r>
      <w:r>
        <w:rPr>
          <w:rFonts w:hint="eastAsia" w:ascii="宋体" w:hAnsi="宋体" w:eastAsia="宋体" w:cs="宋体"/>
          <w:snapToGrid w:val="0"/>
          <w:color w:val="auto"/>
          <w:spacing w:val="0"/>
          <w:kern w:val="0"/>
          <w:sz w:val="32"/>
          <w:szCs w:val="32"/>
          <w:lang w:val="en-US" w:eastAsia="zh-CN" w:bidi="ar-SA"/>
        </w:rPr>
        <w:t>以及其他</w:t>
      </w:r>
      <w:r>
        <w:rPr>
          <w:rFonts w:hint="eastAsia" w:ascii="宋体" w:hAnsi="宋体" w:eastAsia="宋体" w:cs="宋体"/>
          <w:snapToGrid w:val="0"/>
          <w:color w:val="000000"/>
          <w:spacing w:val="0"/>
          <w:kern w:val="0"/>
          <w:sz w:val="32"/>
          <w:szCs w:val="32"/>
          <w:lang w:val="en-US" w:eastAsia="en-US" w:bidi="ar-SA"/>
        </w:rPr>
        <w:t>用途分类。非农业用水包括工业、自来水厂和其他用水。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pacing w:val="0"/>
          <w:sz w:val="32"/>
          <w:szCs w:val="32"/>
        </w:rPr>
      </w:pPr>
      <w:r>
        <w:rPr>
          <w:rFonts w:hint="eastAsia" w:ascii="宋体" w:hAnsi="宋体" w:eastAsia="宋体" w:cs="宋体"/>
          <w:snapToGrid w:val="0"/>
          <w:color w:val="000000"/>
          <w:spacing w:val="0"/>
          <w:kern w:val="0"/>
          <w:sz w:val="32"/>
          <w:szCs w:val="32"/>
          <w:lang w:val="en-US" w:eastAsia="en-US" w:bidi="ar-SA"/>
        </w:rPr>
        <w:t>3、实行一次核算、分步到位终端水价。加强定价成本监审，充分利用节水改造腾出空间，综合考虑供水成本、水资源稀缺程度以及用户承受能力等因素，合理制定水工程各类终端水价并适时调整，原则上3～5</w:t>
      </w:r>
      <w:r>
        <w:rPr>
          <w:rFonts w:hint="eastAsia" w:ascii="宋体" w:hAnsi="宋体" w:eastAsia="宋体" w:cs="宋体"/>
          <w:snapToGrid w:val="0"/>
          <w:color w:val="000000"/>
          <w:spacing w:val="0"/>
          <w:kern w:val="0"/>
          <w:sz w:val="32"/>
          <w:szCs w:val="32"/>
          <w:lang w:val="en-US" w:eastAsia="zh-CN" w:bidi="ar-SA"/>
        </w:rPr>
        <w:t>年</w:t>
      </w:r>
      <w:r>
        <w:rPr>
          <w:rFonts w:hint="eastAsia" w:ascii="宋体" w:hAnsi="宋体" w:eastAsia="宋体" w:cs="宋体"/>
          <w:snapToGrid w:val="0"/>
          <w:color w:val="000000"/>
          <w:spacing w:val="0"/>
          <w:kern w:val="0"/>
          <w:sz w:val="32"/>
          <w:szCs w:val="32"/>
          <w:lang w:val="en-US" w:eastAsia="en-US" w:bidi="ar-SA"/>
        </w:rPr>
        <w:t>调整一次。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eastAsia" w:ascii="宋体" w:hAnsi="宋体" w:eastAsia="宋体" w:cs="宋体"/>
          <w:spacing w:val="0"/>
          <w:sz w:val="32"/>
          <w:szCs w:val="32"/>
          <w14:textOutline w14:w="5791" w14:cap="flat" w14:cmpd="sng">
            <w14:solidFill>
              <w14:srgbClr w14:val="000000"/>
            </w14:solidFill>
            <w14:prstDash w14:val="solid"/>
            <w14:miter w14:val="0"/>
          </w14:textOutline>
        </w:rPr>
      </w:pPr>
      <w:bookmarkStart w:id="99" w:name="_Toc996_WPSOffice_Level2"/>
      <w:bookmarkStart w:id="100" w:name="_Toc30793_WPSOffice_Level2"/>
      <w:r>
        <w:rPr>
          <w:rFonts w:hint="eastAsia" w:ascii="宋体" w:hAnsi="宋体" w:eastAsia="宋体" w:cs="宋体"/>
          <w:spacing w:val="0"/>
          <w:sz w:val="32"/>
          <w:szCs w:val="32"/>
          <w:lang w:val="en-US" w:eastAsia="zh-CN"/>
          <w14:textOutline w14:w="5791" w14:cap="flat" w14:cmpd="sng">
            <w14:solidFill>
              <w14:srgbClr w14:val="000000"/>
            </w14:solidFill>
            <w14:prstDash w14:val="solid"/>
            <w14:miter w14:val="0"/>
          </w14:textOutline>
        </w:rPr>
        <w:t>6.</w:t>
      </w:r>
      <w:r>
        <w:rPr>
          <w:rFonts w:hint="eastAsia" w:ascii="宋体" w:hAnsi="宋体" w:eastAsia="宋体" w:cs="宋体"/>
          <w:spacing w:val="0"/>
          <w:sz w:val="32"/>
          <w:szCs w:val="32"/>
          <w14:textOutline w14:w="5791" w14:cap="flat" w14:cmpd="sng">
            <w14:solidFill>
              <w14:srgbClr w14:val="000000"/>
            </w14:solidFill>
            <w14:prstDash w14:val="solid"/>
            <w14:miter w14:val="0"/>
          </w14:textOutline>
        </w:rPr>
        <w:t>2运行管护</w:t>
      </w:r>
      <w:bookmarkEnd w:id="99"/>
      <w:bookmarkEnd w:id="100"/>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农村供水工程的运行管护根据《关于深化小型水利工程管理体制改革的指导意见》（水建管[2013]169号）和云南省有关政策，明确项目区范围内水利工程的产权主体和管护主体，落实工程管护经费。按照“谁投资、谁所有”的原则，对工程进行运行管理及维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bookmarkStart w:id="101" w:name="_Toc27906_WPSOffice_Level3"/>
      <w:r>
        <w:rPr>
          <w:rFonts w:hint="eastAsia" w:ascii="宋体" w:hAnsi="宋体" w:eastAsia="宋体" w:cs="宋体"/>
          <w:snapToGrid w:val="0"/>
          <w:color w:val="000000"/>
          <w:spacing w:val="0"/>
          <w:kern w:val="0"/>
          <w:sz w:val="32"/>
          <w:szCs w:val="32"/>
          <w:lang w:val="en-US" w:eastAsia="en-US" w:bidi="ar-SA"/>
        </w:rPr>
        <w:t>1、工程产权主体</w:t>
      </w:r>
      <w:bookmarkEnd w:id="101"/>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按照“谁投资、谁所有”的原则，由政府投资形成的工程所有权归政府，由企业投资形成的工程所有权归企业，工程所有权明晰后，由县水务局进行登记造册备案，并向产权人颁发产权证书，注明工程类型、用途、受益范围、权利义务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bookmarkStart w:id="102" w:name="_Toc31562_WPSOffice_Level3"/>
      <w:r>
        <w:rPr>
          <w:rFonts w:hint="eastAsia" w:ascii="宋体" w:hAnsi="宋体" w:eastAsia="宋体" w:cs="宋体"/>
          <w:snapToGrid w:val="0"/>
          <w:color w:val="000000"/>
          <w:spacing w:val="0"/>
          <w:kern w:val="0"/>
          <w:sz w:val="32"/>
          <w:szCs w:val="32"/>
          <w:lang w:val="en-US" w:eastAsia="en-US" w:bidi="ar-SA"/>
        </w:rPr>
        <w:t>2、落实管护主体和责任</w:t>
      </w:r>
      <w:bookmarkEnd w:id="102"/>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对工程实行自建自管制度，由工程项目投资建设方落实工程管理和维修养护责任。保证管护责任落实到位。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bookmarkStart w:id="103" w:name="_Toc19036_WPSOffice_Level3"/>
      <w:r>
        <w:rPr>
          <w:rFonts w:hint="eastAsia" w:ascii="宋体" w:hAnsi="宋体" w:eastAsia="宋体" w:cs="宋体"/>
          <w:snapToGrid w:val="0"/>
          <w:color w:val="000000"/>
          <w:spacing w:val="0"/>
          <w:kern w:val="0"/>
          <w:sz w:val="32"/>
          <w:szCs w:val="32"/>
          <w:lang w:val="en-US" w:eastAsia="en-US" w:bidi="ar-SA"/>
        </w:rPr>
        <w:t>3、管护经费</w:t>
      </w:r>
      <w:bookmarkEnd w:id="103"/>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管护经费纳入供水成本，从水费分成中列支。</w:t>
      </w:r>
      <w:r>
        <w:rPr>
          <w:rFonts w:hint="eastAsia" w:ascii="宋体" w:hAnsi="宋体" w:eastAsia="宋体" w:cs="宋体"/>
          <w:snapToGrid w:val="0"/>
          <w:color w:val="000000"/>
          <w:spacing w:val="0"/>
          <w:kern w:val="0"/>
          <w:sz w:val="32"/>
          <w:szCs w:val="32"/>
          <w:lang w:val="en-US" w:eastAsia="zh-CN" w:bidi="ar-SA"/>
        </w:rPr>
        <w:t>同时，编制出台</w:t>
      </w:r>
      <w:r>
        <w:rPr>
          <w:rFonts w:hint="eastAsia" w:ascii="宋体" w:hAnsi="宋体" w:eastAsia="宋体" w:cs="宋体"/>
          <w:snapToGrid w:val="0"/>
          <w:color w:val="000000"/>
          <w:spacing w:val="0"/>
          <w:kern w:val="0"/>
          <w:sz w:val="32"/>
          <w:szCs w:val="32"/>
          <w:lang w:val="en-US" w:eastAsia="en-US" w:bidi="ar-SA"/>
        </w:rPr>
        <w:t>具体标准、支付方式、考核办法等。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bookmarkStart w:id="104" w:name="_Toc18710_WPSOffice_Level3"/>
      <w:r>
        <w:rPr>
          <w:rFonts w:hint="eastAsia" w:ascii="宋体" w:hAnsi="宋体" w:eastAsia="宋体" w:cs="宋体"/>
          <w:snapToGrid w:val="0"/>
          <w:color w:val="000000"/>
          <w:spacing w:val="0"/>
          <w:kern w:val="0"/>
          <w:sz w:val="32"/>
          <w:szCs w:val="32"/>
          <w:lang w:val="en-US" w:eastAsia="en-US" w:bidi="ar-SA"/>
        </w:rPr>
        <w:t>4、制定管理办法</w:t>
      </w:r>
      <w:bookmarkEnd w:id="104"/>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由县水务局会同县财政局、工程投资建设方，编制《农村供水保障工程项目建设与管护办法》，明确工程管护范围，确定工程管护主体及相关管理部门的职责，规范工程建设管理和运行管护的程序，明确工程运行维护经费的筹集、使用和管理办法。</w:t>
      </w:r>
      <w:bookmarkStart w:id="105" w:name="_Toc66866442"/>
      <w:bookmarkStart w:id="106" w:name="_Toc14233_WPSOffice_Level1"/>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both"/>
        <w:textAlignment w:val="baseline"/>
        <w:outlineLvl w:val="9"/>
        <w:rPr>
          <w:rFonts w:hint="eastAsia" w:ascii="宋体" w:hAnsi="宋体" w:eastAsia="宋体" w:cs="宋体"/>
          <w:spacing w:val="0"/>
          <w:sz w:val="44"/>
          <w:szCs w:val="44"/>
          <w:lang w:val="en-US" w:eastAsia="zh-CN"/>
        </w:rPr>
      </w:pPr>
      <w:bookmarkStart w:id="107" w:name="_Toc31776_WPSOffice_Level1"/>
      <w:r>
        <w:rPr>
          <w:rFonts w:hint="eastAsia" w:ascii="宋体" w:hAnsi="宋体" w:eastAsia="宋体" w:cs="宋体"/>
          <w:spacing w:val="0"/>
          <w:sz w:val="44"/>
          <w:szCs w:val="44"/>
          <w:lang w:val="en-US" w:eastAsia="zh-CN"/>
        </w:rPr>
        <w:t>7 投资规模</w:t>
      </w:r>
      <w:bookmarkEnd w:id="105"/>
      <w:bookmarkEnd w:id="107"/>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eastAsia" w:ascii="宋体" w:hAnsi="宋体" w:eastAsia="宋体" w:cs="宋体"/>
          <w:spacing w:val="0"/>
          <w:sz w:val="32"/>
          <w:szCs w:val="32"/>
          <w14:textOutline w14:w="5791" w14:cap="flat" w14:cmpd="sng">
            <w14:solidFill>
              <w14:srgbClr w14:val="000000"/>
            </w14:solidFill>
            <w14:prstDash w14:val="solid"/>
            <w14:miter w14:val="0"/>
          </w14:textOutline>
        </w:rPr>
      </w:pPr>
      <w:bookmarkStart w:id="108" w:name="_Toc66866443"/>
      <w:bookmarkStart w:id="109" w:name="_Toc7851_WPSOffice_Level2"/>
      <w:r>
        <w:rPr>
          <w:rFonts w:hint="eastAsia" w:ascii="宋体" w:hAnsi="宋体" w:eastAsia="宋体" w:cs="宋体"/>
          <w:spacing w:val="0"/>
          <w:sz w:val="32"/>
          <w:szCs w:val="32"/>
          <w:lang w:val="en-US" w:eastAsia="zh-CN"/>
          <w14:textOutline w14:w="5791" w14:cap="flat" w14:cmpd="sng">
            <w14:solidFill>
              <w14:srgbClr w14:val="000000"/>
            </w14:solidFill>
            <w14:prstDash w14:val="solid"/>
            <w14:miter w14:val="0"/>
          </w14:textOutline>
        </w:rPr>
        <w:t>7</w:t>
      </w:r>
      <w:r>
        <w:rPr>
          <w:rFonts w:hint="eastAsia" w:ascii="宋体" w:hAnsi="宋体" w:eastAsia="宋体" w:cs="宋体"/>
          <w:spacing w:val="0"/>
          <w:sz w:val="32"/>
          <w:szCs w:val="32"/>
          <w14:textOutline w14:w="5791" w14:cap="flat" w14:cmpd="sng">
            <w14:solidFill>
              <w14:srgbClr w14:val="000000"/>
            </w14:solidFill>
            <w14:prstDash w14:val="solid"/>
            <w14:miter w14:val="0"/>
          </w14:textOutline>
        </w:rPr>
        <w:t>.1规划投资</w:t>
      </w:r>
      <w:bookmarkEnd w:id="108"/>
      <w:bookmarkEnd w:id="109"/>
    </w:p>
    <w:p>
      <w:pPr>
        <w:adjustRightInd w:val="0"/>
        <w:snapToGrid w:val="0"/>
        <w:spacing w:line="560" w:lineRule="exact"/>
        <w:ind w:firstLine="640" w:firstLineChars="200"/>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根据“十四五”水安全保障规划主要任务，需求与可能相结合，按照前期工作进展、资金筹措情况及远期发展需求安排建设年限。本次规划建设项目匡算总投资为</w:t>
      </w:r>
      <w:r>
        <w:rPr>
          <w:rFonts w:hint="eastAsia" w:ascii="宋体" w:hAnsi="宋体" w:eastAsia="宋体" w:cs="宋体"/>
          <w:color w:val="auto"/>
          <w:spacing w:val="0"/>
          <w:sz w:val="32"/>
          <w:szCs w:val="32"/>
          <w:highlight w:val="none"/>
          <w:lang w:val="en-US" w:eastAsia="zh-CN"/>
        </w:rPr>
        <w:t>56062万元，其中，规模以上供水工程投资50307万元，占规划投资的89.73%</w:t>
      </w:r>
      <w:r>
        <w:rPr>
          <w:rFonts w:hint="eastAsia" w:ascii="宋体" w:hAnsi="宋体" w:eastAsia="宋体" w:cs="宋体"/>
          <w:color w:val="auto"/>
          <w:spacing w:val="0"/>
          <w:sz w:val="32"/>
          <w:szCs w:val="32"/>
          <w:highlight w:val="none"/>
        </w:rPr>
        <w:t>。</w:t>
      </w:r>
    </w:p>
    <w:p>
      <w:pPr>
        <w:adjustRightInd w:val="0"/>
        <w:snapToGrid w:val="0"/>
        <w:spacing w:line="560" w:lineRule="exact"/>
        <w:ind w:firstLine="643" w:firstLineChars="200"/>
        <w:jc w:val="center"/>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麻栗坡县“十四五”农村供水保障规划投资估算表（单位：万元）</w:t>
      </w:r>
    </w:p>
    <w:tbl>
      <w:tblPr>
        <w:tblStyle w:val="7"/>
        <w:tblW w:w="14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69"/>
        <w:gridCol w:w="3162"/>
        <w:gridCol w:w="1528"/>
        <w:gridCol w:w="2244"/>
        <w:gridCol w:w="1469"/>
        <w:gridCol w:w="1530"/>
        <w:gridCol w:w="1469"/>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序号</w:t>
            </w:r>
          </w:p>
        </w:tc>
        <w:tc>
          <w:tcPr>
            <w:tcW w:w="31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工程名称</w:t>
            </w: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总投资</w:t>
            </w:r>
          </w:p>
        </w:tc>
        <w:tc>
          <w:tcPr>
            <w:tcW w:w="671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其中</w:t>
            </w:r>
          </w:p>
        </w:tc>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实施年度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3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水源工程投资</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水厂投资或净化设施投资</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输配水管网投资</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计量设备投资</w:t>
            </w: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合计</w:t>
            </w:r>
          </w:p>
        </w:tc>
        <w:tc>
          <w:tcPr>
            <w:tcW w:w="3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 xml:space="preserve">56062 </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 xml:space="preserve">1186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 xml:space="preserve">6710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 xml:space="preserve">39027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 xml:space="preserve">9139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1</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铁厂片区小水窖替代项目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27905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500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2500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22618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2287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董干片区供水工程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8396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1000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4656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2741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3</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马街片区供水工程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5273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100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500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2500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2173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4</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大坪片区小水窖替代供水工程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6485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200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1000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4200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1085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5</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下金厂云岭片区供水改造工程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2249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800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1100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349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6</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麻栗坡县天保口岸供水项目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4000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100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900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2500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500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7</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下金厂中寨片区供水工程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385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20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350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5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8</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永利村委会牛厂饮水项目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19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15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9</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孔抗村委会楼梯村小组饮水项目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15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12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10</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孔抗村委会龙老村小组饮水项目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14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11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11</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铜厂村委会扣览村饮水项目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20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16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12</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小寨村委会下福田村小组饮水项目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20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16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13</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小寨村委会三保寨村小组饮水项目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19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15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14</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麻栗镇红岩村委会云盘村小组应急供水工程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73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15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58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15</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大坪镇苏麻地水库至集镇饮水管网改造项目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263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53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210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16</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马街乡董浪背丫口村农村饮水安全巩固提升工程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17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14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17</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麻栗镇下凉水井片区水质提升工程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47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47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18</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铁厂乡龙路村委会上、下铳镭饮水安全巩固提升工程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53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11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42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19</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董干镇长槽村委会核桃坪、金竹坪、长槽饮水项目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85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17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68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20</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六河乡自然能提水工程项目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376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75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301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21</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麻栗坡县铁厂乡龙路村委会徐家洞子村饮水项目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16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13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22</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麻栗坡县马街乡普留塘村委会高家湾村饮水项目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18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14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23</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麻栗坡县董干镇麻栗堡村委会大马苏村人畜饮水项目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19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15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24</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麻栗坡县八布乡江东小学饮水项目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23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5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18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25</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麻栗坡县董干镇兴隆寨小学饮水项目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21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17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26</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麻栗坡县董干镇麻栗堡村委会小马苏村小组人畜饮水项目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17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14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27</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麻栗坡县董干镇麻栗堡村委会水源头、半坡村人畜饮水项目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20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16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28</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麻栗坡县六河乡营盘山村委会龙后、湾子村人畜饮水项目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16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13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29</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麻栗坡县六河乡转堡村委会中安村人畜饮水项目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21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17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30</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麻栗坡县铁厂乡孔抗村委会当湾村人畜饮水项目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17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14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31</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麻栗坡县董干镇上坝村人畜饮水项目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24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5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19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pacing w:line="240" w:lineRule="exact"/>
              <w:jc w:val="center"/>
              <w:rPr>
                <w:rFonts w:hint="eastAsia" w:ascii="宋体" w:hAnsi="宋体" w:eastAsia="宋体" w:cs="宋体"/>
                <w:i w:val="0"/>
                <w:color w:val="000000"/>
                <w:spacing w:val="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32</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麻栗坡县六河乡九家寨村人畜饮水项目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18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rPr>
                <w:rFonts w:hint="eastAsia" w:ascii="宋体" w:hAnsi="宋体" w:eastAsia="宋体" w:cs="宋体"/>
                <w:i w:val="0"/>
                <w:color w:val="000000"/>
                <w:spacing w:val="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14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rPr>
                <w:rFonts w:hint="eastAsia" w:ascii="宋体" w:hAnsi="宋体" w:eastAsia="宋体" w:cs="宋体"/>
                <w:i w:val="0"/>
                <w:color w:val="000000"/>
                <w:spacing w:val="0"/>
                <w:sz w:val="22"/>
                <w:szCs w:val="22"/>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33</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麻栗坡县董干镇龙山村人畜饮水项目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19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rPr>
                <w:rFonts w:hint="eastAsia" w:ascii="宋体" w:hAnsi="宋体" w:eastAsia="宋体" w:cs="宋体"/>
                <w:i w:val="0"/>
                <w:color w:val="000000"/>
                <w:spacing w:val="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15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rPr>
                <w:rFonts w:hint="eastAsia" w:ascii="宋体" w:hAnsi="宋体" w:eastAsia="宋体" w:cs="宋体"/>
                <w:i w:val="0"/>
                <w:color w:val="000000"/>
                <w:spacing w:val="0"/>
                <w:sz w:val="22"/>
                <w:szCs w:val="22"/>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34</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董干镇麻栗堡村人畜饮水项目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17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rPr>
                <w:rFonts w:hint="eastAsia" w:ascii="宋体" w:hAnsi="宋体" w:eastAsia="宋体" w:cs="宋体"/>
                <w:i w:val="0"/>
                <w:color w:val="000000"/>
                <w:spacing w:val="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14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rPr>
                <w:rFonts w:hint="eastAsia" w:ascii="宋体" w:hAnsi="宋体" w:eastAsia="宋体" w:cs="宋体"/>
                <w:i w:val="0"/>
                <w:color w:val="000000"/>
                <w:spacing w:val="0"/>
                <w:sz w:val="22"/>
                <w:szCs w:val="22"/>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35</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六河乡张家坡片区人畜饮水项目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34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7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rPr>
                <w:rFonts w:hint="eastAsia" w:ascii="宋体" w:hAnsi="宋体" w:eastAsia="宋体" w:cs="宋体"/>
                <w:i w:val="0"/>
                <w:color w:val="000000"/>
                <w:spacing w:val="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27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rPr>
                <w:rFonts w:hint="eastAsia" w:ascii="宋体" w:hAnsi="宋体" w:eastAsia="宋体" w:cs="宋体"/>
                <w:i w:val="0"/>
                <w:color w:val="000000"/>
                <w:spacing w:val="0"/>
                <w:sz w:val="22"/>
                <w:szCs w:val="22"/>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36</w:t>
            </w:r>
          </w:p>
        </w:tc>
        <w:tc>
          <w:tcPr>
            <w:tcW w:w="3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天保村农村饮水安全巩固提升项目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49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10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rPr>
                <w:rFonts w:hint="eastAsia" w:ascii="宋体" w:hAnsi="宋体" w:eastAsia="宋体" w:cs="宋体"/>
                <w:i w:val="0"/>
                <w:color w:val="000000"/>
                <w:spacing w:val="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18"/>
                <w:szCs w:val="18"/>
                <w:u w:val="none"/>
              </w:rPr>
            </w:pPr>
            <w:r>
              <w:rPr>
                <w:rFonts w:hint="eastAsia" w:ascii="宋体" w:hAnsi="宋体" w:eastAsia="宋体" w:cs="宋体"/>
                <w:i w:val="0"/>
                <w:snapToGrid w:val="0"/>
                <w:color w:val="000000"/>
                <w:spacing w:val="0"/>
                <w:kern w:val="0"/>
                <w:sz w:val="18"/>
                <w:szCs w:val="18"/>
                <w:u w:val="none"/>
                <w:lang w:val="en-US" w:eastAsia="zh-CN" w:bidi="ar"/>
              </w:rPr>
              <w:t xml:space="preserve">39 </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wordWrap/>
              <w:overflowPunct/>
              <w:topLinePunct w:val="0"/>
              <w:bidi w:val="0"/>
              <w:spacing w:line="240" w:lineRule="exact"/>
              <w:rPr>
                <w:rFonts w:hint="eastAsia" w:ascii="宋体" w:hAnsi="宋体" w:eastAsia="宋体" w:cs="宋体"/>
                <w:i w:val="0"/>
                <w:color w:val="000000"/>
                <w:spacing w:val="0"/>
                <w:sz w:val="22"/>
                <w:szCs w:val="22"/>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bidi w:val="0"/>
              <w:spacing w:line="240" w:lineRule="exact"/>
              <w:jc w:val="center"/>
              <w:textAlignment w:val="center"/>
              <w:rPr>
                <w:rFonts w:hint="eastAsia" w:ascii="宋体" w:hAnsi="宋体" w:eastAsia="宋体" w:cs="宋体"/>
                <w:i w:val="0"/>
                <w:color w:val="000000"/>
                <w:spacing w:val="0"/>
                <w:sz w:val="22"/>
                <w:szCs w:val="22"/>
                <w:u w:val="none"/>
              </w:rPr>
            </w:pPr>
            <w:r>
              <w:rPr>
                <w:rFonts w:hint="eastAsia" w:ascii="宋体" w:hAnsi="宋体" w:eastAsia="宋体" w:cs="宋体"/>
                <w:i w:val="0"/>
                <w:snapToGrid w:val="0"/>
                <w:color w:val="000000"/>
                <w:spacing w:val="0"/>
                <w:kern w:val="0"/>
                <w:sz w:val="22"/>
                <w:szCs w:val="22"/>
                <w:u w:val="none"/>
                <w:lang w:val="en-US" w:eastAsia="zh-CN" w:bidi="ar"/>
              </w:rPr>
              <w:t>2022</w:t>
            </w:r>
          </w:p>
        </w:tc>
      </w:tr>
    </w:tbl>
    <w:p>
      <w:pPr>
        <w:adjustRightInd w:val="0"/>
        <w:snapToGrid w:val="0"/>
        <w:spacing w:line="560" w:lineRule="exact"/>
        <w:ind w:firstLine="640" w:firstLineChars="200"/>
        <w:rPr>
          <w:rFonts w:hint="eastAsia" w:ascii="宋体" w:hAnsi="宋体" w:eastAsia="宋体" w:cs="宋体"/>
          <w:color w:val="auto"/>
          <w:spacing w:val="0"/>
          <w:sz w:val="32"/>
          <w:szCs w:val="32"/>
          <w:highlight w:val="none"/>
        </w:rPr>
      </w:pPr>
    </w:p>
    <w:p>
      <w:pPr>
        <w:adjustRightInd w:val="0"/>
        <w:snapToGrid w:val="0"/>
        <w:spacing w:line="560" w:lineRule="exact"/>
        <w:ind w:firstLine="640" w:firstLineChars="200"/>
        <w:rPr>
          <w:rFonts w:hint="eastAsia" w:ascii="宋体" w:hAnsi="宋体" w:eastAsia="宋体" w:cs="宋体"/>
          <w:color w:val="auto"/>
          <w:spacing w:val="0"/>
          <w:sz w:val="32"/>
          <w:szCs w:val="32"/>
          <w:highlight w:val="none"/>
        </w:rPr>
      </w:pPr>
    </w:p>
    <w:p>
      <w:pPr>
        <w:adjustRightInd w:val="0"/>
        <w:snapToGrid w:val="0"/>
        <w:spacing w:line="560" w:lineRule="exact"/>
        <w:ind w:firstLine="640" w:firstLineChars="200"/>
        <w:rPr>
          <w:rFonts w:hint="eastAsia" w:ascii="宋体" w:hAnsi="宋体" w:eastAsia="宋体" w:cs="宋体"/>
          <w:color w:val="auto"/>
          <w:spacing w:val="0"/>
          <w:sz w:val="32"/>
          <w:szCs w:val="32"/>
          <w:highlight w:val="none"/>
        </w:rPr>
      </w:pPr>
    </w:p>
    <w:p>
      <w:pPr>
        <w:adjustRightInd w:val="0"/>
        <w:snapToGrid w:val="0"/>
        <w:spacing w:line="560" w:lineRule="exact"/>
        <w:ind w:firstLine="640" w:firstLineChars="200"/>
        <w:rPr>
          <w:rFonts w:hint="eastAsia" w:ascii="宋体" w:hAnsi="宋体" w:eastAsia="宋体" w:cs="宋体"/>
          <w:color w:val="auto"/>
          <w:spacing w:val="0"/>
          <w:sz w:val="32"/>
          <w:szCs w:val="32"/>
          <w:highlight w:val="none"/>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eastAsia" w:ascii="宋体" w:hAnsi="宋体" w:eastAsia="宋体" w:cs="宋体"/>
          <w:spacing w:val="0"/>
          <w:sz w:val="32"/>
          <w:szCs w:val="32"/>
          <w14:textOutline w14:w="5791" w14:cap="flat" w14:cmpd="sng">
            <w14:solidFill>
              <w14:srgbClr w14:val="000000"/>
            </w14:solidFill>
            <w14:prstDash w14:val="solid"/>
            <w14:miter w14:val="0"/>
          </w14:textOutline>
        </w:rPr>
      </w:pPr>
      <w:bookmarkStart w:id="110" w:name="_Toc19403_WPSOffice_Level2"/>
      <w:bookmarkStart w:id="111" w:name="_Toc66866444"/>
      <w:r>
        <w:rPr>
          <w:rFonts w:hint="eastAsia" w:ascii="宋体" w:hAnsi="宋体" w:eastAsia="宋体" w:cs="宋体"/>
          <w:spacing w:val="0"/>
          <w:sz w:val="32"/>
          <w:szCs w:val="32"/>
          <w:lang w:val="en-US" w:eastAsia="zh-CN"/>
          <w14:textOutline w14:w="5791" w14:cap="flat" w14:cmpd="sng">
            <w14:solidFill>
              <w14:srgbClr w14:val="000000"/>
            </w14:solidFill>
            <w14:prstDash w14:val="solid"/>
            <w14:miter w14:val="0"/>
          </w14:textOutline>
        </w:rPr>
        <w:t>7</w:t>
      </w:r>
      <w:r>
        <w:rPr>
          <w:rFonts w:hint="eastAsia" w:ascii="宋体" w:hAnsi="宋体" w:eastAsia="宋体" w:cs="宋体"/>
          <w:spacing w:val="0"/>
          <w:sz w:val="32"/>
          <w:szCs w:val="32"/>
          <w14:textOutline w14:w="5791" w14:cap="flat" w14:cmpd="sng">
            <w14:solidFill>
              <w14:srgbClr w14:val="000000"/>
            </w14:solidFill>
            <w14:prstDash w14:val="solid"/>
            <w14:miter w14:val="0"/>
          </w14:textOutline>
        </w:rPr>
        <w:t>.2资金筹措</w:t>
      </w:r>
      <w:bookmarkEnd w:id="110"/>
      <w:bookmarkEnd w:id="111"/>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采取多渠道筹措资金，逐渐形成以国家投资为导向，地方政府投资为主体的多元化、多层次、多渠道相结合的水利投融资机制</w:t>
      </w:r>
      <w:r>
        <w:rPr>
          <w:rFonts w:hint="eastAsia" w:ascii="宋体" w:hAnsi="宋体" w:eastAsia="宋体" w:cs="宋体"/>
          <w:color w:val="auto"/>
          <w:spacing w:val="0"/>
          <w:sz w:val="32"/>
          <w:szCs w:val="32"/>
          <w:highlight w:val="none"/>
          <w:lang w:eastAsia="zh-CN"/>
        </w:rPr>
        <w:t>，鼓励和支持社会资本参与水利建设。</w:t>
      </w:r>
      <w:r>
        <w:rPr>
          <w:rFonts w:hint="eastAsia" w:ascii="宋体" w:hAnsi="宋体" w:eastAsia="宋体" w:cs="宋体"/>
          <w:color w:val="auto"/>
          <w:spacing w:val="0"/>
          <w:sz w:val="32"/>
          <w:szCs w:val="32"/>
          <w:highlight w:val="none"/>
        </w:rPr>
        <w:t>积极争取财政水利专项资金投入渠道，用足用好国家有关优惠政策。按照公益性水利设施以公共财政投入为主体、农村小型水利项目投资主体多元化、经营性水利工程项目推进市场化的思路，为麻栗坡县水利工程项目建设提供资金保障。</w:t>
      </w:r>
    </w:p>
    <w:bookmarkEnd w:id="106"/>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both"/>
        <w:textAlignment w:val="baseline"/>
        <w:outlineLvl w:val="9"/>
        <w:rPr>
          <w:rFonts w:hint="eastAsia" w:ascii="宋体" w:hAnsi="宋体" w:eastAsia="宋体" w:cs="宋体"/>
          <w:spacing w:val="0"/>
          <w:sz w:val="44"/>
          <w:szCs w:val="44"/>
          <w:lang w:val="en-US" w:eastAsia="zh-CN"/>
        </w:rPr>
      </w:pPr>
      <w:bookmarkStart w:id="112" w:name="bookmark48"/>
      <w:bookmarkEnd w:id="112"/>
      <w:bookmarkStart w:id="113" w:name="bookmark47"/>
      <w:bookmarkEnd w:id="113"/>
      <w:bookmarkStart w:id="114" w:name="_Toc66866574"/>
      <w:bookmarkStart w:id="115" w:name="_Toc2479_WPSOffice_Level1"/>
      <w:r>
        <w:rPr>
          <w:rFonts w:hint="eastAsia" w:ascii="宋体" w:hAnsi="宋体" w:eastAsia="宋体" w:cs="宋体"/>
          <w:spacing w:val="0"/>
          <w:sz w:val="44"/>
          <w:szCs w:val="44"/>
          <w:lang w:val="en-US" w:eastAsia="zh-CN"/>
        </w:rPr>
        <w:t>8 实施</w:t>
      </w:r>
      <w:bookmarkEnd w:id="114"/>
      <w:bookmarkEnd w:id="115"/>
      <w:r>
        <w:rPr>
          <w:rFonts w:hint="eastAsia" w:ascii="宋体" w:hAnsi="宋体" w:eastAsia="宋体" w:cs="宋体"/>
          <w:spacing w:val="0"/>
          <w:sz w:val="44"/>
          <w:szCs w:val="44"/>
          <w:lang w:val="en-US" w:eastAsia="zh-CN"/>
        </w:rPr>
        <w:t>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宋体" w:hAnsi="宋体" w:eastAsia="宋体" w:cs="宋体"/>
          <w:spacing w:val="0"/>
          <w:sz w:val="32"/>
          <w:szCs w:val="32"/>
        </w:rPr>
      </w:pPr>
      <w:r>
        <w:rPr>
          <w:rFonts w:hint="eastAsia" w:ascii="宋体" w:hAnsi="宋体" w:eastAsia="宋体" w:cs="宋体"/>
          <w:spacing w:val="0"/>
          <w:sz w:val="32"/>
          <w:szCs w:val="32"/>
        </w:rPr>
        <w:t>通过麻栗坡县“十四五”</w:t>
      </w:r>
      <w:r>
        <w:rPr>
          <w:rFonts w:hint="eastAsia" w:ascii="宋体" w:hAnsi="宋体" w:eastAsia="宋体" w:cs="宋体"/>
          <w:spacing w:val="0"/>
          <w:sz w:val="32"/>
          <w:szCs w:val="32"/>
          <w:lang w:val="en-US" w:eastAsia="zh-CN"/>
        </w:rPr>
        <w:t>农村供水保障</w:t>
      </w:r>
      <w:r>
        <w:rPr>
          <w:rFonts w:hint="eastAsia" w:ascii="宋体" w:hAnsi="宋体" w:eastAsia="宋体" w:cs="宋体"/>
          <w:spacing w:val="0"/>
          <w:sz w:val="32"/>
          <w:szCs w:val="32"/>
        </w:rPr>
        <w:t>规划的实施，不仅将产生明显的生态、社会、经济效益，也是保障区域水安全，促进社会经济发展的关键举措，水利工程补短板项目属于重要的基础设施建设项目，如果没有这些补短板项目，区域水安全难以长期保持，经济社会发展也将在一定程度上受制于此。因此，实施麻栗坡县“十四五”</w:t>
      </w:r>
      <w:r>
        <w:rPr>
          <w:rFonts w:hint="eastAsia" w:ascii="宋体" w:hAnsi="宋体" w:eastAsia="宋体" w:cs="宋体"/>
          <w:spacing w:val="0"/>
          <w:sz w:val="32"/>
          <w:szCs w:val="32"/>
          <w:lang w:val="en-US" w:eastAsia="zh-CN"/>
        </w:rPr>
        <w:t>农村供水</w:t>
      </w:r>
      <w:r>
        <w:rPr>
          <w:rFonts w:hint="eastAsia" w:ascii="宋体" w:hAnsi="宋体" w:eastAsia="宋体" w:cs="宋体"/>
          <w:spacing w:val="0"/>
          <w:sz w:val="32"/>
          <w:szCs w:val="32"/>
        </w:rPr>
        <w:t>保障规划将是今后阶段</w:t>
      </w:r>
      <w:r>
        <w:rPr>
          <w:rFonts w:hint="eastAsia" w:ascii="宋体" w:hAnsi="宋体" w:eastAsia="宋体" w:cs="宋体"/>
          <w:spacing w:val="0"/>
          <w:sz w:val="32"/>
          <w:szCs w:val="32"/>
          <w:lang w:val="en-US" w:eastAsia="zh-CN"/>
        </w:rPr>
        <w:t>性的</w:t>
      </w:r>
      <w:r>
        <w:rPr>
          <w:rFonts w:hint="eastAsia" w:ascii="宋体" w:hAnsi="宋体" w:eastAsia="宋体" w:cs="宋体"/>
          <w:spacing w:val="0"/>
          <w:sz w:val="32"/>
          <w:szCs w:val="32"/>
        </w:rPr>
        <w:t>一项重要工作。</w:t>
      </w:r>
    </w:p>
    <w:p>
      <w:pPr>
        <w:rPr>
          <w:rFonts w:hint="eastAsia" w:ascii="宋体" w:hAnsi="宋体" w:eastAsia="宋体" w:cs="宋体"/>
          <w:b/>
          <w:bCs/>
          <w:spacing w:val="0"/>
          <w:kern w:val="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宋体" w:hAnsi="宋体" w:eastAsia="宋体" w:cs="宋体"/>
          <w:snapToGrid w:val="0"/>
          <w:color w:val="000000"/>
          <w:spacing w:val="0"/>
          <w:kern w:val="0"/>
          <w:sz w:val="32"/>
          <w:szCs w:val="32"/>
          <w:lang w:val="en-US" w:eastAsia="zh-CN" w:bidi="ar-SA"/>
          <w14:textOutline w14:w="5791" w14:cap="flat" w14:cmpd="sng">
            <w14:solidFill>
              <w14:srgbClr w14:val="000000"/>
            </w14:solidFill>
            <w14:prstDash w14:val="solid"/>
            <w14:miter w14:val="0"/>
          </w14:textOutline>
        </w:rPr>
      </w:pPr>
      <w:bookmarkStart w:id="116" w:name="_Toc66866575"/>
      <w:bookmarkStart w:id="117" w:name="_Toc4230_WPSOffice_Level2"/>
      <w:r>
        <w:rPr>
          <w:rFonts w:hint="eastAsia" w:ascii="宋体" w:hAnsi="宋体" w:eastAsia="宋体" w:cs="宋体"/>
          <w:snapToGrid w:val="0"/>
          <w:color w:val="000000"/>
          <w:spacing w:val="0"/>
          <w:kern w:val="0"/>
          <w:sz w:val="32"/>
          <w:szCs w:val="32"/>
          <w:lang w:val="en-US" w:eastAsia="zh-CN" w:bidi="ar-SA"/>
          <w14:textOutline w14:w="5791" w14:cap="flat" w14:cmpd="sng">
            <w14:solidFill>
              <w14:srgbClr w14:val="000000"/>
            </w14:solidFill>
            <w14:prstDash w14:val="solid"/>
            <w14:miter w14:val="0"/>
          </w14:textOutline>
        </w:rPr>
        <w:t>8.1生态环境效益</w:t>
      </w:r>
      <w:bookmarkEnd w:id="116"/>
      <w:bookmarkEnd w:id="117"/>
    </w:p>
    <w:p>
      <w:pPr>
        <w:snapToGrid w:val="0"/>
        <w:spacing w:line="560" w:lineRule="exact"/>
        <w:ind w:firstLine="640" w:firstLineChars="200"/>
        <w:rPr>
          <w:rFonts w:hint="eastAsia" w:ascii="宋体" w:hAnsi="宋体" w:eastAsia="宋体" w:cs="宋体"/>
          <w:spacing w:val="0"/>
          <w:sz w:val="32"/>
          <w:szCs w:val="32"/>
        </w:rPr>
      </w:pPr>
      <w:r>
        <w:rPr>
          <w:rFonts w:hint="eastAsia" w:ascii="宋体" w:hAnsi="宋体" w:eastAsia="宋体" w:cs="宋体"/>
          <w:spacing w:val="0"/>
          <w:sz w:val="32"/>
          <w:szCs w:val="32"/>
        </w:rPr>
        <w:t>实施重点水源工程、重点水系连通工程、水库清淤增效工程、城市备用水源工程、乡镇抗旱水源工程</w:t>
      </w:r>
      <w:r>
        <w:rPr>
          <w:rFonts w:hint="eastAsia" w:ascii="宋体" w:hAnsi="宋体" w:eastAsia="宋体" w:cs="宋体"/>
          <w:spacing w:val="0"/>
          <w:sz w:val="32"/>
          <w:szCs w:val="32"/>
          <w:lang w:val="en-US" w:eastAsia="zh-CN"/>
        </w:rPr>
        <w:t>以及</w:t>
      </w:r>
      <w:r>
        <w:rPr>
          <w:rFonts w:hint="eastAsia" w:ascii="宋体" w:hAnsi="宋体" w:eastAsia="宋体" w:cs="宋体"/>
          <w:spacing w:val="0"/>
          <w:sz w:val="32"/>
          <w:szCs w:val="32"/>
        </w:rPr>
        <w:t>中型灌区工程等水资源保障工程后，能够有效地利用水资源，为城乡居民生活饮用水、工业用水、城镇发展用水提供安全的水源保证，村镇应急抗旱能力进一步增强，特别是城乡供水一体化项目建成并集中供水后，能够减少分散式供水设施的开发建设，减少对地表的扰动，有利于减少水土流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宋体" w:hAnsi="宋体" w:eastAsia="宋体" w:cs="宋体"/>
          <w:snapToGrid w:val="0"/>
          <w:color w:val="000000"/>
          <w:spacing w:val="0"/>
          <w:kern w:val="0"/>
          <w:sz w:val="32"/>
          <w:szCs w:val="32"/>
          <w:lang w:val="en-US" w:eastAsia="zh-CN" w:bidi="ar-SA"/>
          <w14:textOutline w14:w="5791" w14:cap="flat" w14:cmpd="sng">
            <w14:solidFill>
              <w14:srgbClr w14:val="000000"/>
            </w14:solidFill>
            <w14:prstDash w14:val="solid"/>
            <w14:miter w14:val="0"/>
          </w14:textOutline>
        </w:rPr>
      </w:pPr>
      <w:bookmarkStart w:id="118" w:name="_Toc66866576"/>
      <w:bookmarkStart w:id="119" w:name="_Toc5935_WPSOffice_Level2"/>
      <w:r>
        <w:rPr>
          <w:rFonts w:hint="eastAsia" w:ascii="宋体" w:hAnsi="宋体" w:eastAsia="宋体" w:cs="宋体"/>
          <w:snapToGrid w:val="0"/>
          <w:color w:val="000000"/>
          <w:spacing w:val="0"/>
          <w:kern w:val="0"/>
          <w:sz w:val="32"/>
          <w:szCs w:val="32"/>
          <w:lang w:val="en-US" w:eastAsia="zh-CN" w:bidi="ar-SA"/>
          <w14:textOutline w14:w="5791" w14:cap="flat" w14:cmpd="sng">
            <w14:solidFill>
              <w14:srgbClr w14:val="000000"/>
            </w14:solidFill>
            <w14:prstDash w14:val="solid"/>
            <w14:miter w14:val="0"/>
          </w14:textOutline>
        </w:rPr>
        <w:t>8.2社会效益</w:t>
      </w:r>
      <w:bookmarkEnd w:id="118"/>
      <w:bookmarkEnd w:id="119"/>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宋体" w:hAnsi="宋体" w:eastAsia="宋体" w:cs="宋体"/>
          <w:spacing w:val="0"/>
          <w:sz w:val="32"/>
          <w:szCs w:val="32"/>
        </w:rPr>
      </w:pPr>
      <w:r>
        <w:rPr>
          <w:rFonts w:hint="eastAsia" w:ascii="宋体" w:hAnsi="宋体" w:eastAsia="宋体" w:cs="宋体"/>
          <w:spacing w:val="0"/>
          <w:sz w:val="32"/>
          <w:szCs w:val="32"/>
        </w:rPr>
        <w:t>通过实施水资源保障工程，进一步提升生活、生产和生态供水保障能力，降低生活、生产、生态“水”风险和成本，增加人民群众收益，调动农民发展农业产业经济的积极性，保障国家粮食安全，促进产业发展和社会稳定。随着供水稳定性和可靠性大幅提高，人民群众的“喝水”问题将得到彻底解决，人民群众没有了“水”后顾之忧，能够专心谋求经济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宋体" w:hAnsi="宋体" w:eastAsia="宋体" w:cs="宋体"/>
          <w:snapToGrid w:val="0"/>
          <w:color w:val="000000"/>
          <w:spacing w:val="0"/>
          <w:kern w:val="0"/>
          <w:sz w:val="32"/>
          <w:szCs w:val="32"/>
          <w:lang w:val="en-US" w:eastAsia="zh-CN" w:bidi="ar-SA"/>
          <w14:textOutline w14:w="5791" w14:cap="flat" w14:cmpd="sng">
            <w14:solidFill>
              <w14:srgbClr w14:val="000000"/>
            </w14:solidFill>
            <w14:prstDash w14:val="solid"/>
            <w14:miter w14:val="0"/>
          </w14:textOutline>
        </w:rPr>
      </w:pPr>
      <w:bookmarkStart w:id="120" w:name="_Toc6423_WPSOffice_Level2"/>
      <w:bookmarkStart w:id="121" w:name="_Toc66866577"/>
      <w:r>
        <w:rPr>
          <w:rFonts w:hint="eastAsia" w:ascii="宋体" w:hAnsi="宋体" w:eastAsia="宋体" w:cs="宋体"/>
          <w:snapToGrid w:val="0"/>
          <w:color w:val="000000"/>
          <w:spacing w:val="0"/>
          <w:kern w:val="0"/>
          <w:sz w:val="32"/>
          <w:szCs w:val="32"/>
          <w:lang w:val="en-US" w:eastAsia="zh-CN" w:bidi="ar-SA"/>
          <w14:textOutline w14:w="5791" w14:cap="flat" w14:cmpd="sng">
            <w14:solidFill>
              <w14:srgbClr w14:val="000000"/>
            </w14:solidFill>
            <w14:prstDash w14:val="solid"/>
            <w14:miter w14:val="0"/>
          </w14:textOutline>
        </w:rPr>
        <w:t>8.3经济效益</w:t>
      </w:r>
      <w:bookmarkEnd w:id="120"/>
      <w:bookmarkEnd w:id="121"/>
    </w:p>
    <w:p>
      <w:pPr>
        <w:snapToGrid w:val="0"/>
        <w:spacing w:line="560" w:lineRule="exact"/>
        <w:ind w:firstLine="640" w:firstLineChars="200"/>
        <w:rPr>
          <w:rFonts w:hint="eastAsia" w:ascii="宋体" w:hAnsi="宋体" w:eastAsia="宋体" w:cs="宋体"/>
          <w:spacing w:val="0"/>
          <w:sz w:val="32"/>
          <w:szCs w:val="32"/>
        </w:rPr>
      </w:pPr>
      <w:r>
        <w:rPr>
          <w:rFonts w:hint="eastAsia" w:ascii="宋体" w:hAnsi="宋体" w:eastAsia="宋体" w:cs="宋体"/>
          <w:spacing w:val="0"/>
          <w:sz w:val="32"/>
          <w:szCs w:val="32"/>
        </w:rPr>
        <w:t>通过一系列水利工程补短板项目的实施，将极大地改善城乡生活生产用水面貌，对有效缓解水资源供需矛盾、促进产业结构调整、提高农业综合生产能力、增加人民群众收入、改善生态环境都将产生积极的影响，其经济效益也是非常显著的。</w:t>
      </w:r>
    </w:p>
    <w:p>
      <w:pPr>
        <w:snapToGrid w:val="0"/>
        <w:spacing w:line="560" w:lineRule="exact"/>
        <w:ind w:firstLine="640" w:firstLineChars="200"/>
        <w:rPr>
          <w:rFonts w:hint="eastAsia" w:ascii="宋体" w:hAnsi="宋体" w:eastAsia="宋体" w:cs="宋体"/>
          <w:spacing w:val="0"/>
          <w:sz w:val="32"/>
          <w:szCs w:val="32"/>
        </w:rPr>
      </w:pPr>
      <w:r>
        <w:rPr>
          <w:rFonts w:hint="eastAsia" w:ascii="宋体" w:hAnsi="宋体" w:eastAsia="宋体" w:cs="宋体"/>
          <w:spacing w:val="0"/>
          <w:sz w:val="32"/>
          <w:szCs w:val="32"/>
        </w:rPr>
        <w:t>至2025年，整个地区所有水资源保障工程建成后，随着城乡饮用水管理体制的深化改革，饮用水长效管理机制逐步形成，水厂设施不断完善，有效</w:t>
      </w:r>
      <w:r>
        <w:rPr>
          <w:rFonts w:hint="eastAsia" w:ascii="宋体" w:hAnsi="宋体" w:eastAsia="宋体" w:cs="宋体"/>
          <w:spacing w:val="0"/>
          <w:sz w:val="32"/>
          <w:szCs w:val="32"/>
          <w:lang w:eastAsia="zh-CN"/>
        </w:rPr>
        <w:t>地</w:t>
      </w:r>
      <w:r>
        <w:rPr>
          <w:rFonts w:hint="eastAsia" w:ascii="宋体" w:hAnsi="宋体" w:eastAsia="宋体" w:cs="宋体"/>
          <w:spacing w:val="0"/>
          <w:sz w:val="32"/>
          <w:szCs w:val="32"/>
        </w:rPr>
        <w:t>改善了城乡现有的饮用水卫生条件，提高人民群众的生活生产质量，促进了城乡经济发展，为巩固脱贫攻坚成果、实施乡村振兴创造了良好的条件和氛围。</w:t>
      </w:r>
    </w:p>
    <w:p>
      <w:pPr>
        <w:snapToGrid w:val="0"/>
        <w:spacing w:line="560" w:lineRule="exact"/>
        <w:ind w:firstLine="640" w:firstLineChars="200"/>
        <w:rPr>
          <w:rFonts w:hint="eastAsia" w:ascii="宋体" w:hAnsi="宋体" w:eastAsia="宋体" w:cs="宋体"/>
          <w:spacing w:val="0"/>
          <w:sz w:val="32"/>
          <w:szCs w:val="32"/>
        </w:rPr>
      </w:pPr>
      <w:r>
        <w:rPr>
          <w:rFonts w:hint="eastAsia" w:ascii="宋体" w:hAnsi="宋体" w:eastAsia="宋体" w:cs="宋体"/>
          <w:spacing w:val="0"/>
          <w:sz w:val="32"/>
          <w:szCs w:val="32"/>
        </w:rPr>
        <w:t>通过全县水利工程补短板项目的实施，水安全得到有效保障，供水能力大幅提升，重要支流和中小河流防洪标准提高，病险水库山塘均得到整治</w:t>
      </w:r>
      <w:r>
        <w:rPr>
          <w:rFonts w:hint="eastAsia" w:ascii="宋体" w:hAnsi="宋体" w:eastAsia="宋体" w:cs="宋体"/>
          <w:spacing w:val="0"/>
          <w:sz w:val="32"/>
          <w:szCs w:val="32"/>
          <w:lang w:eastAsia="zh-CN"/>
        </w:rPr>
        <w:t>，</w:t>
      </w:r>
      <w:r>
        <w:rPr>
          <w:rFonts w:hint="eastAsia" w:ascii="宋体" w:hAnsi="宋体" w:eastAsia="宋体" w:cs="宋体"/>
          <w:spacing w:val="0"/>
          <w:sz w:val="32"/>
          <w:szCs w:val="32"/>
        </w:rPr>
        <w:t>城乡饮用水保证率大大提高；水生态环境得到有效治理和修复，人居环境更加优美，人民群众的获得感、幸福感、安全感不断增强。</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both"/>
        <w:textAlignment w:val="baseline"/>
        <w:outlineLvl w:val="9"/>
        <w:rPr>
          <w:rFonts w:hint="eastAsia" w:ascii="宋体" w:hAnsi="宋体" w:eastAsia="宋体" w:cs="宋体"/>
          <w:spacing w:val="0"/>
          <w:sz w:val="44"/>
          <w:szCs w:val="44"/>
          <w:lang w:val="en-US" w:eastAsia="zh-CN"/>
        </w:rPr>
      </w:pPr>
      <w:bookmarkStart w:id="122" w:name="_Toc3548_WPSOffice_Level1"/>
      <w:bookmarkStart w:id="123" w:name="_Toc11350_WPSOffice_Level1"/>
      <w:r>
        <w:rPr>
          <w:rFonts w:hint="eastAsia" w:ascii="宋体" w:hAnsi="宋体" w:eastAsia="宋体" w:cs="宋体"/>
          <w:spacing w:val="0"/>
          <w:sz w:val="44"/>
          <w:szCs w:val="44"/>
          <w:lang w:val="en-US" w:eastAsia="zh-CN"/>
        </w:rPr>
        <w:t>9 保障措施</w:t>
      </w:r>
      <w:bookmarkEnd w:id="122"/>
      <w:bookmarkEnd w:id="123"/>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农村供水保障工程是一项宏大的民生工程，建设任务重、投资大</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000000"/>
          <w:spacing w:val="0"/>
          <w:kern w:val="0"/>
          <w:sz w:val="32"/>
          <w:szCs w:val="32"/>
          <w:lang w:val="en-US" w:eastAsia="en-US" w:bidi="ar-SA"/>
        </w:rPr>
        <w:t>要求高，工程的建设从前期工作开始就会涉及多个部门，如发改、国土、环保、移民、住建、林业、农业、财政、审计和气象等部门，为推动规划顺利实施，仅靠水利部门实施难度较大，需要各级有关部门高度重视、密切配合，特别是各级政府要协调、督促各有关部门的配合，才能保障规划目标任务按期顺利完成。</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eastAsia" w:ascii="宋体" w:hAnsi="宋体" w:eastAsia="宋体" w:cs="宋体"/>
          <w:spacing w:val="0"/>
          <w:sz w:val="32"/>
          <w:szCs w:val="32"/>
          <w14:textOutline w14:w="5791" w14:cap="flat" w14:cmpd="sng">
            <w14:solidFill>
              <w14:srgbClr w14:val="000000"/>
            </w14:solidFill>
            <w14:prstDash w14:val="solid"/>
            <w14:miter w14:val="0"/>
          </w14:textOutline>
        </w:rPr>
      </w:pPr>
      <w:bookmarkStart w:id="124" w:name="bookmark51"/>
      <w:bookmarkEnd w:id="124"/>
      <w:bookmarkStart w:id="125" w:name="_Toc21612_WPSOffice_Level2"/>
      <w:bookmarkStart w:id="126" w:name="_Toc8636_WPSOffice_Level2"/>
      <w:r>
        <w:rPr>
          <w:rFonts w:hint="eastAsia" w:ascii="宋体" w:hAnsi="宋体" w:eastAsia="宋体" w:cs="宋体"/>
          <w:spacing w:val="0"/>
          <w:sz w:val="32"/>
          <w:szCs w:val="32"/>
          <w:lang w:val="en-US" w:eastAsia="zh-CN"/>
          <w14:textOutline w14:w="5791" w14:cap="flat" w14:cmpd="sng">
            <w14:solidFill>
              <w14:srgbClr w14:val="000000"/>
            </w14:solidFill>
            <w14:prstDash w14:val="solid"/>
            <w14:miter w14:val="0"/>
          </w14:textOutline>
        </w:rPr>
        <w:t>9</w:t>
      </w:r>
      <w:r>
        <w:rPr>
          <w:rFonts w:hint="eastAsia" w:ascii="宋体" w:hAnsi="宋体" w:eastAsia="宋体" w:cs="宋体"/>
          <w:spacing w:val="0"/>
          <w:sz w:val="32"/>
          <w:szCs w:val="32"/>
          <w14:textOutline w14:w="5791" w14:cap="flat" w14:cmpd="sng">
            <w14:solidFill>
              <w14:srgbClr w14:val="000000"/>
            </w14:solidFill>
            <w14:prstDash w14:val="solid"/>
            <w14:miter w14:val="0"/>
          </w14:textOutline>
        </w:rPr>
        <w:t>.1强化组织管理，健全体制机制</w:t>
      </w:r>
      <w:bookmarkEnd w:id="125"/>
      <w:bookmarkEnd w:id="126"/>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农村供水保障工程的建设是党的十八大以来，党中央从战略和全局高度，对保障水安全作出一系列重大决策部署，实施麻栗坡县农村供水保障工程建设是麻栗坡县经济社会发展的重大战略举措。各级、各部门要适应加快水利改革发展新形势、新任务的要求，</w:t>
      </w:r>
      <w:r>
        <w:rPr>
          <w:rFonts w:hint="eastAsia" w:ascii="宋体" w:hAnsi="宋体" w:eastAsia="宋体" w:cs="宋体"/>
          <w:snapToGrid w:val="0"/>
          <w:color w:val="auto"/>
          <w:spacing w:val="0"/>
          <w:kern w:val="0"/>
          <w:sz w:val="32"/>
          <w:szCs w:val="32"/>
          <w:lang w:val="en-US" w:eastAsia="en-US" w:bidi="ar-SA"/>
        </w:rPr>
        <w:t>把思想</w:t>
      </w:r>
      <w:r>
        <w:rPr>
          <w:rFonts w:hint="eastAsia" w:ascii="宋体" w:hAnsi="宋体" w:eastAsia="宋体" w:cs="宋体"/>
          <w:snapToGrid w:val="0"/>
          <w:color w:val="auto"/>
          <w:spacing w:val="0"/>
          <w:kern w:val="0"/>
          <w:sz w:val="32"/>
          <w:szCs w:val="32"/>
          <w:lang w:val="en-US" w:eastAsia="zh-CN" w:bidi="ar-SA"/>
        </w:rPr>
        <w:t>和</w:t>
      </w:r>
      <w:r>
        <w:rPr>
          <w:rFonts w:hint="eastAsia" w:ascii="宋体" w:hAnsi="宋体" w:eastAsia="宋体" w:cs="宋体"/>
          <w:snapToGrid w:val="0"/>
          <w:color w:val="auto"/>
          <w:spacing w:val="0"/>
          <w:kern w:val="0"/>
          <w:sz w:val="32"/>
          <w:szCs w:val="32"/>
          <w:lang w:val="en-US" w:eastAsia="en-US" w:bidi="ar-SA"/>
        </w:rPr>
        <w:t>行动统一</w:t>
      </w:r>
      <w:r>
        <w:rPr>
          <w:rFonts w:hint="eastAsia" w:ascii="宋体" w:hAnsi="宋体" w:eastAsia="宋体" w:cs="宋体"/>
          <w:snapToGrid w:val="0"/>
          <w:color w:val="000000"/>
          <w:spacing w:val="0"/>
          <w:kern w:val="0"/>
          <w:sz w:val="32"/>
          <w:szCs w:val="32"/>
          <w:lang w:val="en-US" w:eastAsia="en-US" w:bidi="ar-SA"/>
        </w:rPr>
        <w:t>到加快水利改革发展</w:t>
      </w:r>
      <w:r>
        <w:rPr>
          <w:rFonts w:hint="eastAsia" w:ascii="宋体" w:hAnsi="宋体" w:eastAsia="宋体" w:cs="宋体"/>
          <w:snapToGrid w:val="0"/>
          <w:color w:val="000000"/>
          <w:spacing w:val="0"/>
          <w:kern w:val="0"/>
          <w:sz w:val="32"/>
          <w:szCs w:val="32"/>
          <w:lang w:val="en-US" w:eastAsia="zh-CN" w:bidi="ar-SA"/>
        </w:rPr>
        <w:t>上来</w:t>
      </w:r>
      <w:r>
        <w:rPr>
          <w:rFonts w:hint="eastAsia" w:ascii="宋体" w:hAnsi="宋体" w:eastAsia="宋体" w:cs="宋体"/>
          <w:snapToGrid w:val="0"/>
          <w:color w:val="000000"/>
          <w:spacing w:val="0"/>
          <w:kern w:val="0"/>
          <w:sz w:val="32"/>
          <w:szCs w:val="32"/>
          <w:lang w:val="en-US" w:eastAsia="en-US" w:bidi="ar-SA"/>
        </w:rPr>
        <w:t>，解决制约全县经济社会发展“水瓶颈”问题的重大部署上来，实行水利改革发展行政首长负责制。各级党委、政府要把加快实施“兴水强州”战略列入年度重点督查事项，纳入地方党政领导班子绩效考核，作为干部考核的重要依据。要把加快农村供水保障工程建设作为实践科学发展观的具体行动，列入重要议事日程，切实加强组织领导。各级政府要认真履行加快水网建设责任，要根据农村供水保障规划建设要求，落实领导责任和部门责任，分解本地农村供水保障工程建设目标任务，明确责任分工，细化工作方案，合理配置公共资源，在绩效考核、责任落实、激励约束上，要把加快实施水网建设作为“兴水强州”战略纳入各级政府任期目标，列入年度重点督查和责任考核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要加快农村供水保障工程建设，</w:t>
      </w:r>
      <w:r>
        <w:rPr>
          <w:rFonts w:hint="eastAsia" w:ascii="宋体" w:hAnsi="宋体" w:eastAsia="宋体" w:cs="宋体"/>
          <w:snapToGrid w:val="0"/>
          <w:color w:val="auto"/>
          <w:spacing w:val="0"/>
          <w:kern w:val="0"/>
          <w:sz w:val="32"/>
          <w:szCs w:val="32"/>
          <w:lang w:val="en-US" w:eastAsia="zh-CN" w:bidi="ar-SA"/>
        </w:rPr>
        <w:t>各级有关单位、部门必须精诚协作、</w:t>
      </w:r>
      <w:r>
        <w:rPr>
          <w:rFonts w:hint="eastAsia" w:ascii="宋体" w:hAnsi="宋体" w:eastAsia="宋体" w:cs="宋体"/>
          <w:snapToGrid w:val="0"/>
          <w:color w:val="000000"/>
          <w:spacing w:val="0"/>
          <w:kern w:val="0"/>
          <w:sz w:val="32"/>
          <w:szCs w:val="32"/>
          <w:lang w:val="en-US" w:eastAsia="en-US" w:bidi="ar-SA"/>
        </w:rPr>
        <w:t>共同推进</w:t>
      </w:r>
      <w:r>
        <w:rPr>
          <w:rFonts w:hint="eastAsia" w:ascii="宋体" w:hAnsi="宋体" w:eastAsia="宋体" w:cs="宋体"/>
          <w:snapToGrid w:val="0"/>
          <w:color w:val="000000"/>
          <w:spacing w:val="0"/>
          <w:kern w:val="0"/>
          <w:sz w:val="32"/>
          <w:szCs w:val="32"/>
          <w:lang w:val="en-US" w:eastAsia="zh-CN" w:bidi="ar-SA"/>
        </w:rPr>
        <w:t>，在</w:t>
      </w:r>
      <w:r>
        <w:rPr>
          <w:rFonts w:hint="eastAsia" w:ascii="宋体" w:hAnsi="宋体" w:eastAsia="宋体" w:cs="宋体"/>
          <w:snapToGrid w:val="0"/>
          <w:color w:val="000000"/>
          <w:spacing w:val="0"/>
          <w:kern w:val="0"/>
          <w:sz w:val="32"/>
          <w:szCs w:val="32"/>
          <w:lang w:val="en-US" w:eastAsia="en-US" w:bidi="ar-SA"/>
        </w:rPr>
        <w:t>规划实施过程中，</w:t>
      </w:r>
      <w:r>
        <w:rPr>
          <w:rFonts w:hint="eastAsia" w:ascii="宋体" w:hAnsi="宋体" w:eastAsia="宋体" w:cs="宋体"/>
          <w:snapToGrid w:val="0"/>
          <w:color w:val="000000"/>
          <w:spacing w:val="0"/>
          <w:kern w:val="0"/>
          <w:sz w:val="32"/>
          <w:szCs w:val="32"/>
          <w:lang w:val="en-US" w:eastAsia="zh-CN" w:bidi="ar-SA"/>
        </w:rPr>
        <w:t>各司其职、</w:t>
      </w:r>
      <w:r>
        <w:rPr>
          <w:rFonts w:hint="eastAsia" w:ascii="宋体" w:hAnsi="宋体" w:eastAsia="宋体" w:cs="宋体"/>
          <w:snapToGrid w:val="0"/>
          <w:color w:val="000000"/>
          <w:spacing w:val="0"/>
          <w:kern w:val="0"/>
          <w:sz w:val="32"/>
          <w:szCs w:val="32"/>
          <w:lang w:val="en-US" w:eastAsia="en-US" w:bidi="ar-SA"/>
        </w:rPr>
        <w:t>加强沟通、密切配合、形成合力，切实组织落实好水网建设投资、项目审批、环境影响评价、用地预审、移民安置等有关工作，落实规划确定的各项任务。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农村供水保障工程建设是解决全县水资源分配不均的重大举措，是五大发展理念中“共享”的重要体现</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000000"/>
          <w:spacing w:val="0"/>
          <w:kern w:val="0"/>
          <w:sz w:val="32"/>
          <w:szCs w:val="32"/>
          <w:lang w:val="en-US" w:eastAsia="en-US" w:bidi="ar-SA"/>
        </w:rPr>
        <w:t>农村供水保障工程规划打破行政区域界线，其建设将涉及较多的跨界调水、跨界供水及跨界管理问题，县政府是农村供水保障工程建设的后盾，应在与水有关的法律法规基础上，出台相应的水网建设和管理的相关政策、条例、办法等，作为麻栗坡县农村供水保障工程建设的政策保障措施，以利加快全县城乡供水一体化进程。</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eastAsia" w:ascii="宋体" w:hAnsi="宋体" w:eastAsia="宋体" w:cs="宋体"/>
          <w:spacing w:val="0"/>
          <w:sz w:val="32"/>
          <w:szCs w:val="32"/>
          <w14:textOutline w14:w="5791" w14:cap="flat" w14:cmpd="sng">
            <w14:solidFill>
              <w14:srgbClr w14:val="000000"/>
            </w14:solidFill>
            <w14:prstDash w14:val="solid"/>
            <w14:miter w14:val="0"/>
          </w14:textOutline>
        </w:rPr>
      </w:pPr>
      <w:bookmarkStart w:id="127" w:name="bookmark52"/>
      <w:bookmarkEnd w:id="127"/>
      <w:bookmarkStart w:id="128" w:name="_Toc5941_WPSOffice_Level2"/>
      <w:bookmarkStart w:id="129" w:name="_Toc3709_WPSOffice_Level2"/>
      <w:r>
        <w:rPr>
          <w:rFonts w:hint="eastAsia" w:ascii="宋体" w:hAnsi="宋体" w:eastAsia="宋体" w:cs="宋体"/>
          <w:spacing w:val="0"/>
          <w:sz w:val="32"/>
          <w:szCs w:val="32"/>
          <w:lang w:val="en-US" w:eastAsia="zh-CN"/>
          <w14:textOutline w14:w="5791" w14:cap="flat" w14:cmpd="sng">
            <w14:solidFill>
              <w14:srgbClr w14:val="000000"/>
            </w14:solidFill>
            <w14:prstDash w14:val="solid"/>
            <w14:miter w14:val="0"/>
          </w14:textOutline>
        </w:rPr>
        <w:t>9</w:t>
      </w:r>
      <w:r>
        <w:rPr>
          <w:rFonts w:hint="eastAsia" w:ascii="宋体" w:hAnsi="宋体" w:eastAsia="宋体" w:cs="宋体"/>
          <w:spacing w:val="0"/>
          <w:sz w:val="32"/>
          <w:szCs w:val="32"/>
          <w14:textOutline w14:w="5791" w14:cap="flat" w14:cmpd="sng">
            <w14:solidFill>
              <w14:srgbClr w14:val="000000"/>
            </w14:solidFill>
            <w14:prstDash w14:val="solid"/>
            <w14:miter w14:val="0"/>
          </w14:textOutline>
        </w:rPr>
        <w:t>.2多方筹措资金，引入市场机制</w:t>
      </w:r>
      <w:bookmarkEnd w:id="128"/>
      <w:bookmarkEnd w:id="129"/>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为保障农村供水保障工程的顺利实施，一要加大县财政投入。水利建设具有很强的公益性，在争取国家和省大力支持的基础上，县财政增加投入</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000000"/>
          <w:spacing w:val="0"/>
          <w:kern w:val="0"/>
          <w:sz w:val="32"/>
          <w:szCs w:val="32"/>
          <w:lang w:val="en-US" w:eastAsia="en-US" w:bidi="ar-SA"/>
        </w:rPr>
        <w:t>建立健全财政支持水利建设资金稳定投入机制，建立水利建设专项资金，用于重点水利工程建设和水利规划、项目前期工作</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000000"/>
          <w:spacing w:val="0"/>
          <w:kern w:val="0"/>
          <w:sz w:val="32"/>
          <w:szCs w:val="32"/>
          <w:lang w:val="en-US" w:eastAsia="en-US" w:bidi="ar-SA"/>
        </w:rPr>
        <w:t>二是积极争取上级支持。加大项目前期工作力度，积极争取中央、省及州对我县骨干水源、饮水安全、灌区建设、国际界河和中小河流治理、水土保持、城乡供水等重点水利工程建设资金的支持。三是多渠道吸纳社会资金、增加投入。建立水利建设资金的统筹协调机制，按照“统一规划，用途不变、渠道不乱、各司其职、各记其功”的原则</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000000"/>
          <w:spacing w:val="0"/>
          <w:kern w:val="0"/>
          <w:sz w:val="32"/>
          <w:szCs w:val="32"/>
          <w:lang w:val="en-US" w:eastAsia="en-US" w:bidi="ar-SA"/>
        </w:rPr>
        <w:t>充分利用和整合发改、扶贫、财政、农业、水务、国土、烟草等部门专项资金以及社会捐助等资金，以政府资金为导向</w:t>
      </w:r>
      <w:r>
        <w:rPr>
          <w:rFonts w:hint="eastAsia" w:ascii="宋体" w:hAnsi="宋体" w:eastAsia="宋体" w:cs="宋体"/>
          <w:snapToGrid w:val="0"/>
          <w:color w:val="000000"/>
          <w:spacing w:val="0"/>
          <w:kern w:val="0"/>
          <w:sz w:val="32"/>
          <w:szCs w:val="32"/>
          <w:lang w:val="en-US" w:eastAsia="zh-CN" w:bidi="ar-SA"/>
        </w:rPr>
        <w:t>，</w:t>
      </w:r>
      <w:r>
        <w:rPr>
          <w:rFonts w:hint="eastAsia" w:ascii="宋体" w:hAnsi="宋体" w:eastAsia="宋体" w:cs="宋体"/>
          <w:snapToGrid w:val="0"/>
          <w:color w:val="000000"/>
          <w:spacing w:val="0"/>
          <w:kern w:val="0"/>
          <w:sz w:val="32"/>
          <w:szCs w:val="32"/>
          <w:lang w:val="en-US" w:eastAsia="en-US" w:bidi="ar-SA"/>
        </w:rPr>
        <w:t>多渠道、多部门共同落实工程建设投资，建立促进规划项目的实施和效益发挥。四是广泛吸引社会资金投入。建立以政府投入为主导，企业投入和社会融资为补充的水利投融资体制，采取转让、承包、租赁、拍卖、股份合作等形式盘活现有国有资产，吸引社会资本，促进水利国有资本滚动发展。</w:t>
      </w:r>
      <w:bookmarkStart w:id="130" w:name="bookmark53"/>
      <w:bookmarkEnd w:id="130"/>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eastAsia" w:ascii="宋体" w:hAnsi="宋体" w:eastAsia="宋体" w:cs="宋体"/>
          <w:spacing w:val="0"/>
          <w:sz w:val="32"/>
          <w:szCs w:val="32"/>
          <w14:textOutline w14:w="5791" w14:cap="flat" w14:cmpd="sng">
            <w14:solidFill>
              <w14:srgbClr w14:val="000000"/>
            </w14:solidFill>
            <w14:prstDash w14:val="solid"/>
            <w14:miter w14:val="0"/>
          </w14:textOutline>
        </w:rPr>
      </w:pPr>
      <w:bookmarkStart w:id="131" w:name="_Toc2225_WPSOffice_Level2"/>
      <w:bookmarkStart w:id="132" w:name="_Toc27906_WPSOffice_Level2"/>
      <w:r>
        <w:rPr>
          <w:rFonts w:hint="eastAsia" w:ascii="宋体" w:hAnsi="宋体" w:eastAsia="宋体" w:cs="宋体"/>
          <w:spacing w:val="0"/>
          <w:sz w:val="32"/>
          <w:szCs w:val="32"/>
          <w:lang w:val="en-US" w:eastAsia="zh-CN"/>
          <w14:textOutline w14:w="5791" w14:cap="flat" w14:cmpd="sng">
            <w14:solidFill>
              <w14:srgbClr w14:val="000000"/>
            </w14:solidFill>
            <w14:prstDash w14:val="solid"/>
            <w14:miter w14:val="0"/>
          </w14:textOutline>
        </w:rPr>
        <w:t>9</w:t>
      </w:r>
      <w:r>
        <w:rPr>
          <w:rFonts w:hint="eastAsia" w:ascii="宋体" w:hAnsi="宋体" w:eastAsia="宋体" w:cs="宋体"/>
          <w:spacing w:val="0"/>
          <w:sz w:val="32"/>
          <w:szCs w:val="32"/>
          <w14:textOutline w14:w="5791" w14:cap="flat" w14:cmpd="sng">
            <w14:solidFill>
              <w14:srgbClr w14:val="000000"/>
            </w14:solidFill>
            <w14:prstDash w14:val="solid"/>
            <w14:miter w14:val="0"/>
          </w14:textOutline>
        </w:rPr>
        <w:t>.3加强运行管护，确保长效运行</w:t>
      </w:r>
      <w:bookmarkEnd w:id="131"/>
      <w:bookmarkEnd w:id="132"/>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宋体" w:hAnsi="宋体" w:eastAsia="宋体" w:cs="宋体"/>
          <w:snapToGrid w:val="0"/>
          <w:color w:val="000000"/>
          <w:spacing w:val="0"/>
          <w:kern w:val="0"/>
          <w:sz w:val="32"/>
          <w:szCs w:val="32"/>
          <w:lang w:val="en-US" w:eastAsia="en-US" w:bidi="ar-SA"/>
        </w:rPr>
      </w:pPr>
      <w:r>
        <w:rPr>
          <w:rFonts w:hint="eastAsia" w:ascii="宋体" w:hAnsi="宋体" w:eastAsia="宋体" w:cs="宋体"/>
          <w:snapToGrid w:val="0"/>
          <w:color w:val="000000"/>
          <w:spacing w:val="0"/>
          <w:kern w:val="0"/>
          <w:sz w:val="32"/>
          <w:szCs w:val="32"/>
          <w:lang w:val="en-US" w:eastAsia="en-US" w:bidi="ar-SA"/>
        </w:rPr>
        <w:t>农村供水工程的运行管护根据《关于深化小型水利工程管理体制改革的指导意见》（水建管〔2013〕169号）和云南省有关政策，明确项目区范围内水利工程的产权主体和管护主体，落实工程管护经费，对工程进行运行管理及维护。各部门要加大对县情水情的培训教育力度，</w:t>
      </w:r>
      <w:r>
        <w:rPr>
          <w:rFonts w:hint="eastAsia" w:ascii="宋体" w:hAnsi="宋体" w:eastAsia="宋体" w:cs="宋体"/>
          <w:snapToGrid w:val="0"/>
          <w:color w:val="auto"/>
          <w:spacing w:val="0"/>
          <w:kern w:val="0"/>
          <w:sz w:val="32"/>
          <w:szCs w:val="32"/>
          <w:lang w:val="en-US" w:eastAsia="zh-CN" w:bidi="ar-SA"/>
        </w:rPr>
        <w:t>提升</w:t>
      </w:r>
      <w:r>
        <w:rPr>
          <w:rFonts w:hint="eastAsia" w:ascii="宋体" w:hAnsi="宋体" w:eastAsia="宋体" w:cs="宋体"/>
          <w:snapToGrid w:val="0"/>
          <w:color w:val="auto"/>
          <w:spacing w:val="0"/>
          <w:kern w:val="0"/>
          <w:sz w:val="32"/>
          <w:szCs w:val="32"/>
          <w:lang w:val="en-US" w:eastAsia="en-US" w:bidi="ar-SA"/>
        </w:rPr>
        <w:t>干</w:t>
      </w:r>
      <w:r>
        <w:rPr>
          <w:rFonts w:hint="eastAsia" w:ascii="宋体" w:hAnsi="宋体" w:eastAsia="宋体" w:cs="宋体"/>
          <w:snapToGrid w:val="0"/>
          <w:color w:val="000000"/>
          <w:spacing w:val="0"/>
          <w:kern w:val="0"/>
          <w:sz w:val="32"/>
          <w:szCs w:val="32"/>
          <w:lang w:val="en-US" w:eastAsia="en-US" w:bidi="ar-SA"/>
        </w:rPr>
        <w:t>部群众的水患意识、节水意识和水资源保护意识。把水情教育纳入国民素质教育体系和中小学教育课程体系，作为各级领导干部和公务员教育培训的重要内容，广泛宣传、积极动员各方力量参与到农村供水保障工程建设中。健全水旱灾害、重大水污染等突发事件社会预警和应急制度，明确各类预案群众响应机制，增强全社会应对水危机和风险的能力。要适当鼓励注重培育和宣传工作开展得好的部门、单位，充分发挥典型示范作用。宣传部门和各类媒体要加大宣传力度，使加快水网建设各项举措家喻户晓、深入人心，形成全社会关心、支持水网建设的良好氛围。</w:t>
      </w:r>
    </w:p>
    <w:sectPr>
      <w:headerReference r:id="rId9" w:type="default"/>
      <w:footerReference r:id="rId10" w:type="default"/>
      <w:pgSz w:w="16838" w:h="23811"/>
      <w:pgMar w:top="1327" w:right="1168" w:bottom="1332" w:left="1213" w:header="898" w:footer="1009"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06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4246245</wp:posOffset>
              </wp:positionH>
              <wp:positionV relativeFrom="paragraph">
                <wp:posOffset>-107315</wp:posOffset>
              </wp:positionV>
              <wp:extent cx="234950" cy="2451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4950" cy="2451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eastAsia="宋体"/>
                              <w:sz w:val="24"/>
                              <w:szCs w:val="24"/>
                              <w:lang w:eastAsia="zh-CN"/>
                            </w:rPr>
                          </w:pPr>
                          <w:r>
                            <w:rPr>
                              <w:rFonts w:hint="eastAsia" w:eastAsia="宋体"/>
                              <w:sz w:val="24"/>
                              <w:szCs w:val="24"/>
                              <w:lang w:eastAsia="zh-CN"/>
                            </w:rPr>
                            <w:fldChar w:fldCharType="begin"/>
                          </w:r>
                          <w:r>
                            <w:rPr>
                              <w:rFonts w:hint="eastAsia" w:eastAsia="宋体"/>
                              <w:sz w:val="24"/>
                              <w:szCs w:val="24"/>
                              <w:lang w:eastAsia="zh-CN"/>
                            </w:rPr>
                            <w:instrText xml:space="preserve"> PAGE  \* MERGEFORMAT </w:instrText>
                          </w:r>
                          <w:r>
                            <w:rPr>
                              <w:rFonts w:hint="eastAsia" w:eastAsia="宋体"/>
                              <w:sz w:val="24"/>
                              <w:szCs w:val="24"/>
                              <w:lang w:eastAsia="zh-CN"/>
                            </w:rPr>
                            <w:fldChar w:fldCharType="separate"/>
                          </w:r>
                          <w:r>
                            <w:rPr>
                              <w:rFonts w:hint="eastAsia" w:eastAsia="宋体"/>
                              <w:sz w:val="24"/>
                              <w:szCs w:val="24"/>
                              <w:lang w:eastAsia="zh-CN"/>
                            </w:rPr>
                            <w:t>3</w:t>
                          </w:r>
                          <w:r>
                            <w:rPr>
                              <w:rFonts w:hint="eastAsia" w:eastAsia="宋体"/>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34.35pt;margin-top:-8.45pt;height:19.3pt;width:18.5pt;mso-position-horizontal-relative:margin;z-index:251661312;mso-width-relative:page;mso-height-relative:page;" filled="f" stroked="f" coordsize="21600,21600" o:gfxdata="UEsDBAoAAAAAAIdO4kAAAAAAAAAAAAAAAAAEAAAAZHJzL1BLAwQUAAAACACHTuJA7bczQ9kAAAAK&#10;AQAADwAAAGRycy9kb3ducmV2LnhtbE2Py07DMBBF90j8gzVI7FrblUhKyKQLHjsepbQS7JzYJBHx&#10;OLKdtPw9ZgXLmTm6c265OdmBzcaH3hGCXApghhqne2oR9m8PizWwEBVpNTgyCN8mwKY6PytVod2R&#10;Xs28iy1LIRQKhdDFOBach6YzVoWlGw2l26fzVsU0+pZrr44p3A58JUTGreopfejUaG4703ztJosw&#10;vAf/WIv4Md+1T3H7wqfDvXxGvLyQ4gZYNKf4B8OvflKHKjnVbiId2ICQZes8oQgLmV0DS0QurtKm&#10;RljJHHhV8v8Vqh9QSwMEFAAAAAgAh07iQOxcWuE1AgAAYQQAAA4AAABkcnMvZTJvRG9jLnhtbK1U&#10;zW4TMRC+I/EOlu90k/RHEHVThVZFSBWtFBBnx+vNWrI9xna6Wx4A3oATF+48V5+Dz7vZFAqHHrg4&#10;s/P/fTOT07POGnarQtTkSj49mHCmnKRKu03JP7y/fPGSs5iEq4Qhp0p+pyI/Wzx/dtr6uZpRQ6ZS&#10;gSGJi/PWl7xJyc+LIspGWREPyCsHY03BioTPsCmqIFpkt6aYTSYnRUuh8oGkihHai8HIdxnDUxJS&#10;XWupLkhurXJpyBqUEQmQYqN95Iu+27pWMl3XdVSJmZIDaepfFIG8zm+xOBXzTRC+0XLXgnhKC48w&#10;WaEdiu5TXYgk2Dbov1JZLQNFqtOBJFsMQHpGgGI6ecTNqhFe9VhAdfR70uP/Syvf3d4EpquSzzhz&#10;wmLg99++3n//ef/jC5tlelof5/Baefil7jV1WJpRH6HMqLs62PwLPAx2kHu3J1d1iUkoZ4dHr45h&#10;kTDNjo6n05784iHYh5jeKLIsCyUPmF1Pqbi9igmNwHV0ybUcXWpj+vkZx9qSnxwi/R8WRBiHwAxh&#10;aDVLqVt3O1xrqu4AK9CwF9HLS43iVyKmGxGwCOgXp5Ku8dSGUIR2EmcNhc//0md/zAdWzlosVsnj&#10;p60IijPz1mFySJlGIYzCehTc1p4TdnWKI/SyFxEQkhnFOpD9iAta5iowCSdRq+RpFM/TsN64QKmW&#10;y95p64PeNEMA9s6LdOVWXuYyA2HLbaJa9yxnigZedsxh83ryd1eSV/v3797r4Z9h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tzND2QAAAAoBAAAPAAAAAAAAAAEAIAAAACIAAABkcnMvZG93bnJl&#10;di54bWxQSwECFAAUAAAACACHTuJA7Fxa4TUCAABhBAAADgAAAAAAAAABACAAAAAoAQAAZHJzL2Uy&#10;b0RvYy54bWxQSwUGAAAAAAYABgBZAQAAzwUAAAAA&#10;">
              <v:fill on="f" focussize="0,0"/>
              <v:stroke on="f" weight="0.5pt"/>
              <v:imagedata o:title=""/>
              <o:lock v:ext="edit" aspectratio="f"/>
              <v:textbox inset="0mm,0mm,0mm,0mm">
                <w:txbxContent>
                  <w:p>
                    <w:pPr>
                      <w:pStyle w:val="4"/>
                      <w:jc w:val="center"/>
                      <w:rPr>
                        <w:rFonts w:hint="eastAsia" w:eastAsia="宋体"/>
                        <w:sz w:val="24"/>
                        <w:szCs w:val="24"/>
                        <w:lang w:eastAsia="zh-CN"/>
                      </w:rPr>
                    </w:pPr>
                    <w:r>
                      <w:rPr>
                        <w:rFonts w:hint="eastAsia" w:eastAsia="宋体"/>
                        <w:sz w:val="24"/>
                        <w:szCs w:val="24"/>
                        <w:lang w:eastAsia="zh-CN"/>
                      </w:rPr>
                      <w:fldChar w:fldCharType="begin"/>
                    </w:r>
                    <w:r>
                      <w:rPr>
                        <w:rFonts w:hint="eastAsia" w:eastAsia="宋体"/>
                        <w:sz w:val="24"/>
                        <w:szCs w:val="24"/>
                        <w:lang w:eastAsia="zh-CN"/>
                      </w:rPr>
                      <w:instrText xml:space="preserve"> PAGE  \* MERGEFORMAT </w:instrText>
                    </w:r>
                    <w:r>
                      <w:rPr>
                        <w:rFonts w:hint="eastAsia" w:eastAsia="宋体"/>
                        <w:sz w:val="24"/>
                        <w:szCs w:val="24"/>
                        <w:lang w:eastAsia="zh-CN"/>
                      </w:rPr>
                      <w:fldChar w:fldCharType="separate"/>
                    </w:r>
                    <w:r>
                      <w:rPr>
                        <w:rFonts w:hint="eastAsia" w:eastAsia="宋体"/>
                        <w:sz w:val="24"/>
                        <w:szCs w:val="24"/>
                        <w:lang w:eastAsia="zh-CN"/>
                      </w:rPr>
                      <w:t>3</w:t>
                    </w:r>
                    <w:r>
                      <w:rPr>
                        <w:rFonts w:hint="eastAsia" w:eastAsia="宋体"/>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79"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79"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79"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cxMGE5ZDM2NzIyNmM2YTNmNjQ1NGI1NmU5YzdiNTYifQ=="/>
  </w:docVars>
  <w:rsids>
    <w:rsidRoot w:val="00000000"/>
    <w:rsid w:val="0118663D"/>
    <w:rsid w:val="013B40F0"/>
    <w:rsid w:val="0225631B"/>
    <w:rsid w:val="025C3739"/>
    <w:rsid w:val="026B3007"/>
    <w:rsid w:val="02C96A5B"/>
    <w:rsid w:val="02D86BBF"/>
    <w:rsid w:val="02E13E55"/>
    <w:rsid w:val="02E81F40"/>
    <w:rsid w:val="032A7EA8"/>
    <w:rsid w:val="03D717E7"/>
    <w:rsid w:val="05BE4A8E"/>
    <w:rsid w:val="05EF3603"/>
    <w:rsid w:val="062C3AD6"/>
    <w:rsid w:val="072A7934"/>
    <w:rsid w:val="080143BB"/>
    <w:rsid w:val="09630EDC"/>
    <w:rsid w:val="0A907C0E"/>
    <w:rsid w:val="0B027DE1"/>
    <w:rsid w:val="0B112938"/>
    <w:rsid w:val="0B207881"/>
    <w:rsid w:val="0B220ACA"/>
    <w:rsid w:val="0BF34286"/>
    <w:rsid w:val="0DD06285"/>
    <w:rsid w:val="0F437E89"/>
    <w:rsid w:val="0FA41E44"/>
    <w:rsid w:val="10176241"/>
    <w:rsid w:val="135117B2"/>
    <w:rsid w:val="13855995"/>
    <w:rsid w:val="13AF74A5"/>
    <w:rsid w:val="13F2764F"/>
    <w:rsid w:val="14370FED"/>
    <w:rsid w:val="16EE5B1D"/>
    <w:rsid w:val="18824C46"/>
    <w:rsid w:val="18AE7910"/>
    <w:rsid w:val="1ABD0D03"/>
    <w:rsid w:val="1CDA3272"/>
    <w:rsid w:val="1E6F45BC"/>
    <w:rsid w:val="1ECE6F3E"/>
    <w:rsid w:val="1F245136"/>
    <w:rsid w:val="200167DB"/>
    <w:rsid w:val="219624A7"/>
    <w:rsid w:val="227769D6"/>
    <w:rsid w:val="25752179"/>
    <w:rsid w:val="27644345"/>
    <w:rsid w:val="291460E2"/>
    <w:rsid w:val="29760805"/>
    <w:rsid w:val="2A3A138D"/>
    <w:rsid w:val="2B6F510E"/>
    <w:rsid w:val="2CB35427"/>
    <w:rsid w:val="2D2B5993"/>
    <w:rsid w:val="2D7A1628"/>
    <w:rsid w:val="2E045F3A"/>
    <w:rsid w:val="2E2F7128"/>
    <w:rsid w:val="2E37272F"/>
    <w:rsid w:val="2EC84961"/>
    <w:rsid w:val="2FCE3FAB"/>
    <w:rsid w:val="30566085"/>
    <w:rsid w:val="309838A2"/>
    <w:rsid w:val="30CA6D66"/>
    <w:rsid w:val="31684CDB"/>
    <w:rsid w:val="31E27FEF"/>
    <w:rsid w:val="32064111"/>
    <w:rsid w:val="324D2F17"/>
    <w:rsid w:val="33397E4E"/>
    <w:rsid w:val="336106DC"/>
    <w:rsid w:val="33866EDA"/>
    <w:rsid w:val="339B4655"/>
    <w:rsid w:val="33E653C7"/>
    <w:rsid w:val="34C63D5D"/>
    <w:rsid w:val="35213875"/>
    <w:rsid w:val="361E7FB5"/>
    <w:rsid w:val="36B22533"/>
    <w:rsid w:val="3725329B"/>
    <w:rsid w:val="388D603D"/>
    <w:rsid w:val="38C85835"/>
    <w:rsid w:val="39797C37"/>
    <w:rsid w:val="3A242F26"/>
    <w:rsid w:val="3B196D9D"/>
    <w:rsid w:val="3BC05CA3"/>
    <w:rsid w:val="3C090BBF"/>
    <w:rsid w:val="3C5E6DF2"/>
    <w:rsid w:val="3CE46B54"/>
    <w:rsid w:val="3DA917AF"/>
    <w:rsid w:val="3E3839DE"/>
    <w:rsid w:val="3E7D041D"/>
    <w:rsid w:val="3ECF29C8"/>
    <w:rsid w:val="3EF618CF"/>
    <w:rsid w:val="409B3DC6"/>
    <w:rsid w:val="42095CA4"/>
    <w:rsid w:val="43642D6A"/>
    <w:rsid w:val="43EC16E9"/>
    <w:rsid w:val="440552BE"/>
    <w:rsid w:val="463210D7"/>
    <w:rsid w:val="47991194"/>
    <w:rsid w:val="49A31DE7"/>
    <w:rsid w:val="4AD1724B"/>
    <w:rsid w:val="4AF87DFE"/>
    <w:rsid w:val="4B7146FF"/>
    <w:rsid w:val="4CE95FB8"/>
    <w:rsid w:val="4DCA296A"/>
    <w:rsid w:val="4DE5491A"/>
    <w:rsid w:val="4E7F13A3"/>
    <w:rsid w:val="518D3426"/>
    <w:rsid w:val="519A3DDB"/>
    <w:rsid w:val="52250376"/>
    <w:rsid w:val="525A1DFC"/>
    <w:rsid w:val="53FB393A"/>
    <w:rsid w:val="54294F50"/>
    <w:rsid w:val="54765A06"/>
    <w:rsid w:val="549F208D"/>
    <w:rsid w:val="54F06900"/>
    <w:rsid w:val="55BD044D"/>
    <w:rsid w:val="56E21CC1"/>
    <w:rsid w:val="57516C0A"/>
    <w:rsid w:val="57F81E31"/>
    <w:rsid w:val="5812680F"/>
    <w:rsid w:val="58793143"/>
    <w:rsid w:val="59420FF6"/>
    <w:rsid w:val="5970434C"/>
    <w:rsid w:val="59770D2B"/>
    <w:rsid w:val="598F6750"/>
    <w:rsid w:val="59E0377C"/>
    <w:rsid w:val="5C131CF7"/>
    <w:rsid w:val="5C4E528E"/>
    <w:rsid w:val="5CBF65EF"/>
    <w:rsid w:val="600103C5"/>
    <w:rsid w:val="60200102"/>
    <w:rsid w:val="60FD2B30"/>
    <w:rsid w:val="652836CE"/>
    <w:rsid w:val="65955082"/>
    <w:rsid w:val="66D610FB"/>
    <w:rsid w:val="6A1070C2"/>
    <w:rsid w:val="6A6A7C2A"/>
    <w:rsid w:val="6B6C26D4"/>
    <w:rsid w:val="6B794F45"/>
    <w:rsid w:val="6DBF31A1"/>
    <w:rsid w:val="6E403DD0"/>
    <w:rsid w:val="6F616041"/>
    <w:rsid w:val="6FFC7A8E"/>
    <w:rsid w:val="70D55265"/>
    <w:rsid w:val="71E974F0"/>
    <w:rsid w:val="723F3FFF"/>
    <w:rsid w:val="74487FA0"/>
    <w:rsid w:val="754901D2"/>
    <w:rsid w:val="76367F14"/>
    <w:rsid w:val="77602AE8"/>
    <w:rsid w:val="78BB2C66"/>
    <w:rsid w:val="7D4D314C"/>
    <w:rsid w:val="7EAC23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rPr>
      <w:rFonts w:ascii="仿宋" w:hAnsi="仿宋" w:eastAsia="仿宋" w:cs="仿宋"/>
      <w:sz w:val="28"/>
      <w:szCs w:val="28"/>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autoRedefine/>
    <w:qFormat/>
    <w:uiPriority w:val="0"/>
    <w:pPr>
      <w:ind w:firstLine="420" w:firstLineChars="100"/>
    </w:pPr>
    <w:rPr>
      <w:rFonts w:ascii="Times New Roman" w:hAnsi="Times New Roman"/>
      <w:szCs w:val="21"/>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Times New Roman" w:hAnsi="Times New Roman" w:eastAsia="Times New Roman" w:cs="Times New Roman"/>
      <w:sz w:val="21"/>
      <w:szCs w:val="21"/>
      <w:lang w:val="en-US" w:eastAsia="en-US" w:bidi="ar-SA"/>
    </w:rPr>
  </w:style>
  <w:style w:type="paragraph" w:customStyle="1" w:styleId="11">
    <w:name w:val="WPSOffice手动目录 1"/>
    <w:autoRedefine/>
    <w:qFormat/>
    <w:uiPriority w:val="0"/>
    <w:pPr>
      <w:ind w:leftChars="0"/>
    </w:pPr>
    <w:rPr>
      <w:rFonts w:ascii="Arial" w:hAnsi="Arial" w:eastAsia="Arial" w:cs="Arial"/>
      <w:sz w:val="20"/>
      <w:szCs w:val="20"/>
    </w:rPr>
  </w:style>
  <w:style w:type="paragraph" w:customStyle="1" w:styleId="12">
    <w:name w:val="WPSOffice手动目录 2"/>
    <w:autoRedefine/>
    <w:qFormat/>
    <w:uiPriority w:val="0"/>
    <w:pPr>
      <w:ind w:leftChars="200"/>
    </w:pPr>
    <w:rPr>
      <w:rFonts w:ascii="Arial" w:hAnsi="Arial" w:eastAsia="Arial" w:cs="Arial"/>
      <w:sz w:val="20"/>
      <w:szCs w:val="20"/>
    </w:rPr>
  </w:style>
  <w:style w:type="paragraph" w:customStyle="1" w:styleId="13">
    <w:name w:val="WPSOffice手动目录 3"/>
    <w:autoRedefine/>
    <w:qFormat/>
    <w:uiPriority w:val="0"/>
    <w:pPr>
      <w:ind w:leftChars="400"/>
    </w:pPr>
    <w:rPr>
      <w:rFonts w:ascii="Arial" w:hAnsi="Arial" w:eastAsia="Arial" w:cs="Arial"/>
      <w:sz w:val="20"/>
      <w:szCs w:val="20"/>
    </w:rPr>
  </w:style>
  <w:style w:type="character" w:customStyle="1" w:styleId="14">
    <w:name w:val="font51"/>
    <w:basedOn w:val="8"/>
    <w:autoRedefine/>
    <w:qFormat/>
    <w:uiPriority w:val="0"/>
    <w:rPr>
      <w:rFonts w:hint="eastAsia" w:ascii="宋体" w:hAnsi="宋体" w:eastAsia="宋体" w:cs="宋体"/>
      <w:color w:val="000000"/>
      <w:sz w:val="18"/>
      <w:szCs w:val="18"/>
      <w:u w:val="none"/>
    </w:rPr>
  </w:style>
  <w:style w:type="character" w:customStyle="1" w:styleId="15">
    <w:name w:val="font71"/>
    <w:basedOn w:val="8"/>
    <w:autoRedefine/>
    <w:qFormat/>
    <w:uiPriority w:val="0"/>
    <w:rPr>
      <w:rFonts w:hint="default" w:ascii="Times New Roman" w:hAnsi="Times New Roman" w:cs="Times New Roman"/>
      <w:color w:val="000000"/>
      <w:sz w:val="18"/>
      <w:szCs w:val="18"/>
      <w:u w:val="none"/>
    </w:rPr>
  </w:style>
  <w:style w:type="character" w:customStyle="1" w:styleId="16">
    <w:name w:val="font11"/>
    <w:basedOn w:val="8"/>
    <w:autoRedefine/>
    <w:qFormat/>
    <w:uiPriority w:val="0"/>
    <w:rPr>
      <w:rFonts w:hint="eastAsia" w:ascii="宋体" w:hAnsi="宋体" w:eastAsia="宋体" w:cs="宋体"/>
      <w:color w:val="000000"/>
      <w:sz w:val="20"/>
      <w:szCs w:val="20"/>
      <w:u w:val="none"/>
    </w:rPr>
  </w:style>
  <w:style w:type="character" w:customStyle="1" w:styleId="17">
    <w:name w:val="font21"/>
    <w:basedOn w:val="8"/>
    <w:autoRedefine/>
    <w:qFormat/>
    <w:uiPriority w:val="0"/>
    <w:rPr>
      <w:rFonts w:hint="default" w:ascii="Times New Roman" w:hAnsi="Times New Roman" w:cs="Times New Roman"/>
      <w:color w:val="000000"/>
      <w:sz w:val="20"/>
      <w:szCs w:val="20"/>
      <w:u w:val="none"/>
    </w:rPr>
  </w:style>
  <w:style w:type="character" w:customStyle="1" w:styleId="18">
    <w:name w:val="font61"/>
    <w:basedOn w:val="8"/>
    <w:autoRedefine/>
    <w:qFormat/>
    <w:uiPriority w:val="0"/>
    <w:rPr>
      <w:rFonts w:hint="default" w:ascii="Times New Roman" w:hAnsi="Times New Roman" w:cs="Times New Roman"/>
      <w:color w:val="000000"/>
      <w:sz w:val="18"/>
      <w:szCs w:val="18"/>
      <w:u w:val="none"/>
    </w:rPr>
  </w:style>
  <w:style w:type="character" w:customStyle="1" w:styleId="19">
    <w:name w:val="font161"/>
    <w:basedOn w:val="8"/>
    <w:autoRedefine/>
    <w:qFormat/>
    <w:uiPriority w:val="0"/>
    <w:rPr>
      <w:rFonts w:hint="eastAsia" w:ascii="宋体" w:hAnsi="宋体" w:eastAsia="宋体" w:cs="宋体"/>
      <w:color w:val="000000"/>
      <w:sz w:val="20"/>
      <w:szCs w:val="20"/>
      <w:u w:val="none"/>
    </w:rPr>
  </w:style>
  <w:style w:type="character" w:customStyle="1" w:styleId="20">
    <w:name w:val="font101"/>
    <w:basedOn w:val="8"/>
    <w:autoRedefine/>
    <w:qFormat/>
    <w:uiPriority w:val="0"/>
    <w:rPr>
      <w:rFonts w:hint="default" w:ascii="Times New Roman" w:hAnsi="Times New Roman" w:cs="Times New Roman"/>
      <w:color w:val="000000"/>
      <w:sz w:val="20"/>
      <w:szCs w:val="20"/>
      <w:u w:val="none"/>
    </w:rPr>
  </w:style>
  <w:style w:type="character" w:customStyle="1" w:styleId="21">
    <w:name w:val="font141"/>
    <w:basedOn w:val="8"/>
    <w:autoRedefine/>
    <w:qFormat/>
    <w:uiPriority w:val="0"/>
    <w:rPr>
      <w:rFonts w:hint="default" w:ascii="Times New Roman" w:hAnsi="Times New Roman" w:cs="Times New Roman"/>
      <w:b/>
      <w:color w:val="000000"/>
      <w:sz w:val="18"/>
      <w:szCs w:val="18"/>
      <w:u w:val="none"/>
    </w:rPr>
  </w:style>
  <w:style w:type="character" w:customStyle="1" w:styleId="22">
    <w:name w:val="font131"/>
    <w:basedOn w:val="8"/>
    <w:autoRedefine/>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835ac30-3bc0-4df2-a603-dda482131fa5}"/>
        <w:style w:val=""/>
        <w:category>
          <w:name w:val="常规"/>
          <w:gallery w:val="placeholder"/>
        </w:category>
        <w:types>
          <w:type w:val="bbPlcHdr"/>
        </w:types>
        <w:behaviors>
          <w:behavior w:val="content"/>
        </w:behaviors>
        <w:description w:val=""/>
        <w:guid w:val="{d835ac30-3bc0-4df2-a603-dda482131fa5}"/>
      </w:docPartPr>
      <w:docPartBody>
        <w:p>
          <w:r>
            <w:rPr>
              <w:color w:val="808080"/>
            </w:rPr>
            <w:t>单击此处输入文字。</w:t>
          </w:r>
        </w:p>
      </w:docPartBody>
    </w:docPart>
    <w:docPart>
      <w:docPartPr>
        <w:name w:val="{691ac562-5f58-4de4-8a05-2d926e1aefba}"/>
        <w:style w:val=""/>
        <w:category>
          <w:name w:val="常规"/>
          <w:gallery w:val="placeholder"/>
        </w:category>
        <w:types>
          <w:type w:val="bbPlcHdr"/>
        </w:types>
        <w:behaviors>
          <w:behavior w:val="content"/>
        </w:behaviors>
        <w:description w:val=""/>
        <w:guid w:val="{691ac562-5f58-4de4-8a05-2d926e1aefba}"/>
      </w:docPartPr>
      <w:docPartBody>
        <w:p>
          <w:r>
            <w:rPr>
              <w:color w:val="808080"/>
            </w:rPr>
            <w:t>单击此处输入文字。</w:t>
          </w:r>
        </w:p>
      </w:docPartBody>
    </w:docPart>
    <w:docPart>
      <w:docPartPr>
        <w:name w:val="{36c87b30-8710-4dcf-b288-de915500a191}"/>
        <w:style w:val=""/>
        <w:category>
          <w:name w:val="常规"/>
          <w:gallery w:val="placeholder"/>
        </w:category>
        <w:types>
          <w:type w:val="bbPlcHdr"/>
        </w:types>
        <w:behaviors>
          <w:behavior w:val="content"/>
        </w:behaviors>
        <w:description w:val=""/>
        <w:guid w:val="{36c87b30-8710-4dcf-b288-de915500a191}"/>
      </w:docPartPr>
      <w:docPartBody>
        <w:p>
          <w:r>
            <w:rPr>
              <w:color w:val="808080"/>
            </w:rPr>
            <w:t>单击此处输入文字。</w:t>
          </w:r>
        </w:p>
      </w:docPartBody>
    </w:docPart>
    <w:docPart>
      <w:docPartPr>
        <w:name w:val="{ef42fa54-6a76-49af-9e24-d51321415eaf}"/>
        <w:style w:val=""/>
        <w:category>
          <w:name w:val="常规"/>
          <w:gallery w:val="placeholder"/>
        </w:category>
        <w:types>
          <w:type w:val="bbPlcHdr"/>
        </w:types>
        <w:behaviors>
          <w:behavior w:val="content"/>
        </w:behaviors>
        <w:description w:val=""/>
        <w:guid w:val="{ef42fa54-6a76-49af-9e24-d51321415eaf}"/>
      </w:docPartPr>
      <w:docPartBody>
        <w:p>
          <w:r>
            <w:rPr>
              <w:color w:val="808080"/>
            </w:rPr>
            <w:t>单击此处输入文字。</w:t>
          </w:r>
        </w:p>
      </w:docPartBody>
    </w:docPart>
    <w:docPart>
      <w:docPartPr>
        <w:name w:val="{042f7c12-4947-4b1a-aba1-379cb4399eb5}"/>
        <w:style w:val=""/>
        <w:category>
          <w:name w:val="常规"/>
          <w:gallery w:val="placeholder"/>
        </w:category>
        <w:types>
          <w:type w:val="bbPlcHdr"/>
        </w:types>
        <w:behaviors>
          <w:behavior w:val="content"/>
        </w:behaviors>
        <w:description w:val=""/>
        <w:guid w:val="{042f7c12-4947-4b1a-aba1-379cb4399eb5}"/>
      </w:docPartPr>
      <w:docPartBody>
        <w:p>
          <w:r>
            <w:rPr>
              <w:color w:val="808080"/>
            </w:rPr>
            <w:t>单击此处输入文字。</w:t>
          </w:r>
        </w:p>
      </w:docPartBody>
    </w:docPart>
    <w:docPart>
      <w:docPartPr>
        <w:name w:val="{b10efc4f-b377-4676-8636-2661530c2847}"/>
        <w:style w:val=""/>
        <w:category>
          <w:name w:val="常规"/>
          <w:gallery w:val="placeholder"/>
        </w:category>
        <w:types>
          <w:type w:val="bbPlcHdr"/>
        </w:types>
        <w:behaviors>
          <w:behavior w:val="content"/>
        </w:behaviors>
        <w:description w:val=""/>
        <w:guid w:val="{b10efc4f-b377-4676-8636-2661530c2847}"/>
      </w:docPartPr>
      <w:docPartBody>
        <w:p>
          <w:r>
            <w:rPr>
              <w:color w:val="808080"/>
            </w:rPr>
            <w:t>单击此处输入文字。</w:t>
          </w:r>
        </w:p>
      </w:docPartBody>
    </w:docPart>
    <w:docPart>
      <w:docPartPr>
        <w:name w:val="{7bf28585-973d-4635-a0d8-dd39e0932ee7}"/>
        <w:style w:val=""/>
        <w:category>
          <w:name w:val="常规"/>
          <w:gallery w:val="placeholder"/>
        </w:category>
        <w:types>
          <w:type w:val="bbPlcHdr"/>
        </w:types>
        <w:behaviors>
          <w:behavior w:val="content"/>
        </w:behaviors>
        <w:description w:val=""/>
        <w:guid w:val="{7bf28585-973d-4635-a0d8-dd39e0932ee7}"/>
      </w:docPartPr>
      <w:docPartBody>
        <w:p>
          <w:r>
            <w:rPr>
              <w:color w:val="808080"/>
            </w:rPr>
            <w:t>单击此处输入文字。</w:t>
          </w:r>
        </w:p>
      </w:docPartBody>
    </w:docPart>
    <w:docPart>
      <w:docPartPr>
        <w:name w:val="{5cccbfbc-fbd4-4463-aa83-01c57444a5c5}"/>
        <w:style w:val=""/>
        <w:category>
          <w:name w:val="常规"/>
          <w:gallery w:val="placeholder"/>
        </w:category>
        <w:types>
          <w:type w:val="bbPlcHdr"/>
        </w:types>
        <w:behaviors>
          <w:behavior w:val="content"/>
        </w:behaviors>
        <w:description w:val=""/>
        <w:guid w:val="{5cccbfbc-fbd4-4463-aa83-01c57444a5c5}"/>
      </w:docPartPr>
      <w:docPartBody>
        <w:p>
          <w:r>
            <w:rPr>
              <w:color w:val="808080"/>
            </w:rPr>
            <w:t>单击此处输入文字。</w:t>
          </w:r>
        </w:p>
      </w:docPartBody>
    </w:docPart>
    <w:docPart>
      <w:docPartPr>
        <w:name w:val="{46e19469-07b9-4a1b-ba8c-0a0405da1654}"/>
        <w:style w:val=""/>
        <w:category>
          <w:name w:val="常规"/>
          <w:gallery w:val="placeholder"/>
        </w:category>
        <w:types>
          <w:type w:val="bbPlcHdr"/>
        </w:types>
        <w:behaviors>
          <w:behavior w:val="content"/>
        </w:behaviors>
        <w:description w:val=""/>
        <w:guid w:val="{46e19469-07b9-4a1b-ba8c-0a0405da1654}"/>
      </w:docPartPr>
      <w:docPartBody>
        <w:p>
          <w:r>
            <w:rPr>
              <w:color w:val="808080"/>
            </w:rPr>
            <w:t>单击此处输入文字。</w:t>
          </w:r>
        </w:p>
      </w:docPartBody>
    </w:docPart>
    <w:docPart>
      <w:docPartPr>
        <w:name w:val="{86a2181b-0c35-4637-b714-7c77d5da49e2}"/>
        <w:style w:val=""/>
        <w:category>
          <w:name w:val="常规"/>
          <w:gallery w:val="placeholder"/>
        </w:category>
        <w:types>
          <w:type w:val="bbPlcHdr"/>
        </w:types>
        <w:behaviors>
          <w:behavior w:val="content"/>
        </w:behaviors>
        <w:description w:val=""/>
        <w:guid w:val="{86a2181b-0c35-4637-b714-7c77d5da49e2}"/>
      </w:docPartPr>
      <w:docPartBody>
        <w:p>
          <w:r>
            <w:rPr>
              <w:color w:val="808080"/>
            </w:rPr>
            <w:t>单击此处输入文字。</w:t>
          </w:r>
        </w:p>
      </w:docPartBody>
    </w:docPart>
    <w:docPart>
      <w:docPartPr>
        <w:name w:val="{6bc6978c-5a15-4479-ac27-9baa1203ccf6}"/>
        <w:style w:val=""/>
        <w:category>
          <w:name w:val="常规"/>
          <w:gallery w:val="placeholder"/>
        </w:category>
        <w:types>
          <w:type w:val="bbPlcHdr"/>
        </w:types>
        <w:behaviors>
          <w:behavior w:val="content"/>
        </w:behaviors>
        <w:description w:val=""/>
        <w:guid w:val="{6bc6978c-5a15-4479-ac27-9baa1203ccf6}"/>
      </w:docPartPr>
      <w:docPartBody>
        <w:p>
          <w:r>
            <w:rPr>
              <w:color w:val="808080"/>
            </w:rPr>
            <w:t>单击此处输入文字。</w:t>
          </w:r>
        </w:p>
      </w:docPartBody>
    </w:docPart>
    <w:docPart>
      <w:docPartPr>
        <w:name w:val="{9a6522dd-bc02-4d94-baa1-35329504873f}"/>
        <w:style w:val=""/>
        <w:category>
          <w:name w:val="常规"/>
          <w:gallery w:val="placeholder"/>
        </w:category>
        <w:types>
          <w:type w:val="bbPlcHdr"/>
        </w:types>
        <w:behaviors>
          <w:behavior w:val="content"/>
        </w:behaviors>
        <w:description w:val=""/>
        <w:guid w:val="{9a6522dd-bc02-4d94-baa1-35329504873f}"/>
      </w:docPartPr>
      <w:docPartBody>
        <w:p>
          <w:r>
            <w:rPr>
              <w:color w:val="808080"/>
            </w:rPr>
            <w:t>单击此处输入文字。</w:t>
          </w:r>
        </w:p>
      </w:docPartBody>
    </w:docPart>
    <w:docPart>
      <w:docPartPr>
        <w:name w:val="{03f268d1-2644-48b0-a950-19bf1e9c0e17}"/>
        <w:style w:val=""/>
        <w:category>
          <w:name w:val="常规"/>
          <w:gallery w:val="placeholder"/>
        </w:category>
        <w:types>
          <w:type w:val="bbPlcHdr"/>
        </w:types>
        <w:behaviors>
          <w:behavior w:val="content"/>
        </w:behaviors>
        <w:description w:val=""/>
        <w:guid w:val="{03f268d1-2644-48b0-a950-19bf1e9c0e17}"/>
      </w:docPartPr>
      <w:docPartBody>
        <w:p>
          <w:r>
            <w:rPr>
              <w:color w:val="808080"/>
            </w:rPr>
            <w:t>单击此处输入文字。</w:t>
          </w:r>
        </w:p>
      </w:docPartBody>
    </w:docPart>
    <w:docPart>
      <w:docPartPr>
        <w:name w:val="{8adce59b-e89f-4be9-bbf5-c0b99648b154}"/>
        <w:style w:val=""/>
        <w:category>
          <w:name w:val="常规"/>
          <w:gallery w:val="placeholder"/>
        </w:category>
        <w:types>
          <w:type w:val="bbPlcHdr"/>
        </w:types>
        <w:behaviors>
          <w:behavior w:val="content"/>
        </w:behaviors>
        <w:description w:val=""/>
        <w:guid w:val="{8adce59b-e89f-4be9-bbf5-c0b99648b154}"/>
      </w:docPartPr>
      <w:docPartBody>
        <w:p>
          <w:r>
            <w:rPr>
              <w:color w:val="808080"/>
            </w:rPr>
            <w:t>单击此处输入文字。</w:t>
          </w:r>
        </w:p>
      </w:docPartBody>
    </w:docPart>
    <w:docPart>
      <w:docPartPr>
        <w:name w:val="{85d95291-bc85-4d4b-9ad4-569f5c42871d}"/>
        <w:style w:val=""/>
        <w:category>
          <w:name w:val="常规"/>
          <w:gallery w:val="placeholder"/>
        </w:category>
        <w:types>
          <w:type w:val="bbPlcHdr"/>
        </w:types>
        <w:behaviors>
          <w:behavior w:val="content"/>
        </w:behaviors>
        <w:description w:val=""/>
        <w:guid w:val="{85d95291-bc85-4d4b-9ad4-569f5c42871d}"/>
      </w:docPartPr>
      <w:docPartBody>
        <w:p>
          <w:r>
            <w:rPr>
              <w:color w:val="808080"/>
            </w:rPr>
            <w:t>单击此处输入文字。</w:t>
          </w:r>
        </w:p>
      </w:docPartBody>
    </w:docPart>
    <w:docPart>
      <w:docPartPr>
        <w:name w:val="{12adc1ab-08d4-45c0-bab6-dcfe00ac22ae}"/>
        <w:style w:val=""/>
        <w:category>
          <w:name w:val="常规"/>
          <w:gallery w:val="placeholder"/>
        </w:category>
        <w:types>
          <w:type w:val="bbPlcHdr"/>
        </w:types>
        <w:behaviors>
          <w:behavior w:val="content"/>
        </w:behaviors>
        <w:description w:val=""/>
        <w:guid w:val="{12adc1ab-08d4-45c0-bab6-dcfe00ac22ae}"/>
      </w:docPartPr>
      <w:docPartBody>
        <w:p>
          <w:r>
            <w:rPr>
              <w:color w:val="808080"/>
            </w:rPr>
            <w:t>单击此处输入文字。</w:t>
          </w:r>
        </w:p>
      </w:docPartBody>
    </w:docPart>
    <w:docPart>
      <w:docPartPr>
        <w:name w:val="{6f9c375b-4fee-4a68-8d19-0e4f3517b60a}"/>
        <w:style w:val=""/>
        <w:category>
          <w:name w:val="常规"/>
          <w:gallery w:val="placeholder"/>
        </w:category>
        <w:types>
          <w:type w:val="bbPlcHdr"/>
        </w:types>
        <w:behaviors>
          <w:behavior w:val="content"/>
        </w:behaviors>
        <w:description w:val=""/>
        <w:guid w:val="{6f9c375b-4fee-4a68-8d19-0e4f3517b60a}"/>
      </w:docPartPr>
      <w:docPartBody>
        <w:p>
          <w:r>
            <w:rPr>
              <w:color w:val="808080"/>
            </w:rPr>
            <w:t>单击此处输入文字。</w:t>
          </w:r>
        </w:p>
      </w:docPartBody>
    </w:docPart>
    <w:docPart>
      <w:docPartPr>
        <w:name w:val="{9fb45906-4e31-471e-8d75-e2e7921a8f5e}"/>
        <w:style w:val=""/>
        <w:category>
          <w:name w:val="常规"/>
          <w:gallery w:val="placeholder"/>
        </w:category>
        <w:types>
          <w:type w:val="bbPlcHdr"/>
        </w:types>
        <w:behaviors>
          <w:behavior w:val="content"/>
        </w:behaviors>
        <w:description w:val=""/>
        <w:guid w:val="{9fb45906-4e31-471e-8d75-e2e7921a8f5e}"/>
      </w:docPartPr>
      <w:docPartBody>
        <w:p>
          <w:r>
            <w:rPr>
              <w:color w:val="808080"/>
            </w:rPr>
            <w:t>单击此处输入文字。</w:t>
          </w:r>
        </w:p>
      </w:docPartBody>
    </w:docPart>
    <w:docPart>
      <w:docPartPr>
        <w:name w:val="{8b20f46c-8a31-4373-9cd0-58890b5867db}"/>
        <w:style w:val=""/>
        <w:category>
          <w:name w:val="常规"/>
          <w:gallery w:val="placeholder"/>
        </w:category>
        <w:types>
          <w:type w:val="bbPlcHdr"/>
        </w:types>
        <w:behaviors>
          <w:behavior w:val="content"/>
        </w:behaviors>
        <w:description w:val=""/>
        <w:guid w:val="{8b20f46c-8a31-4373-9cd0-58890b5867db}"/>
      </w:docPartPr>
      <w:docPartBody>
        <w:p>
          <w:r>
            <w:rPr>
              <w:color w:val="808080"/>
            </w:rPr>
            <w:t>单击此处输入文字。</w:t>
          </w:r>
        </w:p>
      </w:docPartBody>
    </w:docPart>
    <w:docPart>
      <w:docPartPr>
        <w:name w:val="{9744e5be-6c56-48a6-b5cf-df7e41e2a68f}"/>
        <w:style w:val=""/>
        <w:category>
          <w:name w:val="常规"/>
          <w:gallery w:val="placeholder"/>
        </w:category>
        <w:types>
          <w:type w:val="bbPlcHdr"/>
        </w:types>
        <w:behaviors>
          <w:behavior w:val="content"/>
        </w:behaviors>
        <w:description w:val=""/>
        <w:guid w:val="{9744e5be-6c56-48a6-b5cf-df7e41e2a68f}"/>
      </w:docPartPr>
      <w:docPartBody>
        <w:p>
          <w:r>
            <w:rPr>
              <w:color w:val="808080"/>
            </w:rPr>
            <w:t>单击此处输入文字。</w:t>
          </w:r>
        </w:p>
      </w:docPartBody>
    </w:docPart>
    <w:docPart>
      <w:docPartPr>
        <w:name w:val="{f2833c2a-3bbf-4016-ad40-0d57394cf8e5}"/>
        <w:style w:val=""/>
        <w:category>
          <w:name w:val="常规"/>
          <w:gallery w:val="placeholder"/>
        </w:category>
        <w:types>
          <w:type w:val="bbPlcHdr"/>
        </w:types>
        <w:behaviors>
          <w:behavior w:val="content"/>
        </w:behaviors>
        <w:description w:val=""/>
        <w:guid w:val="{f2833c2a-3bbf-4016-ad40-0d57394cf8e5}"/>
      </w:docPartPr>
      <w:docPartBody>
        <w:p>
          <w:r>
            <w:rPr>
              <w:color w:val="808080"/>
            </w:rPr>
            <w:t>单击此处输入文字。</w:t>
          </w:r>
        </w:p>
      </w:docPartBody>
    </w:docPart>
    <w:docPart>
      <w:docPartPr>
        <w:name w:val="{f30d64d4-890b-4a4a-88c7-8292df5180e6}"/>
        <w:style w:val=""/>
        <w:category>
          <w:name w:val="常规"/>
          <w:gallery w:val="placeholder"/>
        </w:category>
        <w:types>
          <w:type w:val="bbPlcHdr"/>
        </w:types>
        <w:behaviors>
          <w:behavior w:val="content"/>
        </w:behaviors>
        <w:description w:val=""/>
        <w:guid w:val="{f30d64d4-890b-4a4a-88c7-8292df5180e6}"/>
      </w:docPartPr>
      <w:docPartBody>
        <w:p>
          <w:r>
            <w:rPr>
              <w:color w:val="808080"/>
            </w:rPr>
            <w:t>单击此处输入文字。</w:t>
          </w:r>
        </w:p>
      </w:docPartBody>
    </w:docPart>
    <w:docPart>
      <w:docPartPr>
        <w:name w:val="{51ab4f59-1af6-4905-9775-c5e4f127f8d9}"/>
        <w:style w:val=""/>
        <w:category>
          <w:name w:val="常规"/>
          <w:gallery w:val="placeholder"/>
        </w:category>
        <w:types>
          <w:type w:val="bbPlcHdr"/>
        </w:types>
        <w:behaviors>
          <w:behavior w:val="content"/>
        </w:behaviors>
        <w:description w:val=""/>
        <w:guid w:val="{51ab4f59-1af6-4905-9775-c5e4f127f8d9}"/>
      </w:docPartPr>
      <w:docPartBody>
        <w:p>
          <w:r>
            <w:rPr>
              <w:color w:val="808080"/>
            </w:rPr>
            <w:t>单击此处输入文字。</w:t>
          </w:r>
        </w:p>
      </w:docPartBody>
    </w:docPart>
    <w:docPart>
      <w:docPartPr>
        <w:name w:val="{ec5b5751-f61a-47d8-ae56-3a2f89104a7c}"/>
        <w:style w:val=""/>
        <w:category>
          <w:name w:val="常规"/>
          <w:gallery w:val="placeholder"/>
        </w:category>
        <w:types>
          <w:type w:val="bbPlcHdr"/>
        </w:types>
        <w:behaviors>
          <w:behavior w:val="content"/>
        </w:behaviors>
        <w:description w:val=""/>
        <w:guid w:val="{ec5b5751-f61a-47d8-ae56-3a2f89104a7c}"/>
      </w:docPartPr>
      <w:docPartBody>
        <w:p>
          <w:r>
            <w:rPr>
              <w:color w:val="808080"/>
            </w:rPr>
            <w:t>单击此处输入文字。</w:t>
          </w:r>
        </w:p>
      </w:docPartBody>
    </w:docPart>
    <w:docPart>
      <w:docPartPr>
        <w:name w:val="{b1f32ab1-a963-4ed7-8346-8e4d854d0002}"/>
        <w:style w:val=""/>
        <w:category>
          <w:name w:val="常规"/>
          <w:gallery w:val="placeholder"/>
        </w:category>
        <w:types>
          <w:type w:val="bbPlcHdr"/>
        </w:types>
        <w:behaviors>
          <w:behavior w:val="content"/>
        </w:behaviors>
        <w:description w:val=""/>
        <w:guid w:val="{b1f32ab1-a963-4ed7-8346-8e4d854d0002}"/>
      </w:docPartPr>
      <w:docPartBody>
        <w:p>
          <w:r>
            <w:rPr>
              <w:color w:val="808080"/>
            </w:rPr>
            <w:t>单击此处输入文字。</w:t>
          </w:r>
        </w:p>
      </w:docPartBody>
    </w:docPart>
    <w:docPart>
      <w:docPartPr>
        <w:name w:val="{47a947fd-847d-499c-a003-a64ce45974c6}"/>
        <w:style w:val=""/>
        <w:category>
          <w:name w:val="常规"/>
          <w:gallery w:val="placeholder"/>
        </w:category>
        <w:types>
          <w:type w:val="bbPlcHdr"/>
        </w:types>
        <w:behaviors>
          <w:behavior w:val="content"/>
        </w:behaviors>
        <w:description w:val=""/>
        <w:guid w:val="{47a947fd-847d-499c-a003-a64ce45974c6}"/>
      </w:docPartPr>
      <w:docPartBody>
        <w:p>
          <w:r>
            <w:rPr>
              <w:color w:val="808080"/>
            </w:rPr>
            <w:t>单击此处输入文字。</w:t>
          </w:r>
        </w:p>
      </w:docPartBody>
    </w:docPart>
    <w:docPart>
      <w:docPartPr>
        <w:name w:val="{d996ee15-6753-4b7f-9c5b-c1e3e416a914}"/>
        <w:style w:val=""/>
        <w:category>
          <w:name w:val="常规"/>
          <w:gallery w:val="placeholder"/>
        </w:category>
        <w:types>
          <w:type w:val="bbPlcHdr"/>
        </w:types>
        <w:behaviors>
          <w:behavior w:val="content"/>
        </w:behaviors>
        <w:description w:val=""/>
        <w:guid w:val="{d996ee15-6753-4b7f-9c5b-c1e3e416a914}"/>
      </w:docPartPr>
      <w:docPartBody>
        <w:p>
          <w:r>
            <w:rPr>
              <w:color w:val="808080"/>
            </w:rPr>
            <w:t>单击此处输入文字。</w:t>
          </w:r>
        </w:p>
      </w:docPartBody>
    </w:docPart>
    <w:docPart>
      <w:docPartPr>
        <w:name w:val="{81bbf9f4-68b6-421a-83e2-20263fbc0b8a}"/>
        <w:style w:val=""/>
        <w:category>
          <w:name w:val="常规"/>
          <w:gallery w:val="placeholder"/>
        </w:category>
        <w:types>
          <w:type w:val="bbPlcHdr"/>
        </w:types>
        <w:behaviors>
          <w:behavior w:val="content"/>
        </w:behaviors>
        <w:description w:val=""/>
        <w:guid w:val="{81bbf9f4-68b6-421a-83e2-20263fbc0b8a}"/>
      </w:docPartPr>
      <w:docPartBody>
        <w:p>
          <w:r>
            <w:rPr>
              <w:color w:val="808080"/>
            </w:rPr>
            <w:t>单击此处输入文字。</w:t>
          </w:r>
        </w:p>
      </w:docPartBody>
    </w:docPart>
    <w:docPart>
      <w:docPartPr>
        <w:name w:val="{10429beb-6fe5-46c3-847a-a7d649bf8362}"/>
        <w:style w:val=""/>
        <w:category>
          <w:name w:val="常规"/>
          <w:gallery w:val="placeholder"/>
        </w:category>
        <w:types>
          <w:type w:val="bbPlcHdr"/>
        </w:types>
        <w:behaviors>
          <w:behavior w:val="content"/>
        </w:behaviors>
        <w:description w:val=""/>
        <w:guid w:val="{10429beb-6fe5-46c3-847a-a7d649bf8362}"/>
      </w:docPartPr>
      <w:docPartBody>
        <w:p>
          <w:r>
            <w:rPr>
              <w:color w:val="808080"/>
            </w:rPr>
            <w:t>单击此处输入文字。</w:t>
          </w:r>
        </w:p>
      </w:docPartBody>
    </w:docPart>
    <w:docPart>
      <w:docPartPr>
        <w:name w:val="{69af6456-2fa5-4c00-a749-8e3d9946bbc0}"/>
        <w:style w:val=""/>
        <w:category>
          <w:name w:val="常规"/>
          <w:gallery w:val="placeholder"/>
        </w:category>
        <w:types>
          <w:type w:val="bbPlcHdr"/>
        </w:types>
        <w:behaviors>
          <w:behavior w:val="content"/>
        </w:behaviors>
        <w:description w:val=""/>
        <w:guid w:val="{69af6456-2fa5-4c00-a749-8e3d9946bbc0}"/>
      </w:docPartPr>
      <w:docPartBody>
        <w:p>
          <w:r>
            <w:rPr>
              <w:color w:val="808080"/>
            </w:rPr>
            <w:t>单击此处输入文字。</w:t>
          </w:r>
        </w:p>
      </w:docPartBody>
    </w:docPart>
    <w:docPart>
      <w:docPartPr>
        <w:name w:val="{71899c3e-0c19-4918-93e1-62e41546e8e0}"/>
        <w:style w:val=""/>
        <w:category>
          <w:name w:val="常规"/>
          <w:gallery w:val="placeholder"/>
        </w:category>
        <w:types>
          <w:type w:val="bbPlcHdr"/>
        </w:types>
        <w:behaviors>
          <w:behavior w:val="content"/>
        </w:behaviors>
        <w:description w:val=""/>
        <w:guid w:val="{71899c3e-0c19-4918-93e1-62e41546e8e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2351</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2020-11-09T10:42:00Z</dcterms:created>
  <dc:creator>Administrator</dc:creator>
  <cp:lastModifiedBy>小桂子</cp:lastModifiedBy>
  <cp:lastPrinted>2023-12-27T01:18:00Z</cp:lastPrinted>
  <dcterms:modified xsi:type="dcterms:W3CDTF">2024-03-25T09:17:48Z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2023-11-16T09:47:10Z</vt:filetime>
  </property>
  <property fmtid="{D5CDD505-2E9C-101B-9397-08002B2CF9AE}" pid="4" name="KSOProductBuildVer">
    <vt:lpwstr>2052-12.1.0.16412</vt:lpwstr>
  </property>
  <property fmtid="{D5CDD505-2E9C-101B-9397-08002B2CF9AE}" pid="5" name="ICV">
    <vt:lpwstr>057B551A2A6D4D1CBBFAD6BD7901AC6E_13</vt:lpwstr>
  </property>
</Properties>
</file>